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2DD1" w:rsidRPr="00220098" w:rsidRDefault="00092DD1" w:rsidP="00092DD1">
      <w:pPr>
        <w:rPr>
          <w:rFonts w:ascii="Arial Narrow" w:hAnsi="Arial Narrow"/>
        </w:rPr>
      </w:pPr>
      <w:r w:rsidRPr="00220098">
        <w:rPr>
          <w:rFonts w:ascii="Arial Narrow" w:hAnsi="Arial Narrow"/>
        </w:rPr>
        <w:t xml:space="preserve">Palmer GP., Brown GW., Gibson MS., </w:t>
      </w:r>
      <w:proofErr w:type="spellStart"/>
      <w:r w:rsidRPr="00220098">
        <w:rPr>
          <w:rFonts w:ascii="Arial Narrow" w:hAnsi="Arial Narrow"/>
        </w:rPr>
        <w:t>Pigott</w:t>
      </w:r>
      <w:proofErr w:type="spellEnd"/>
      <w:r w:rsidRPr="00220098">
        <w:rPr>
          <w:rFonts w:ascii="Arial Narrow" w:hAnsi="Arial Narrow"/>
        </w:rPr>
        <w:t xml:space="preserve"> JP., </w:t>
      </w:r>
      <w:proofErr w:type="spellStart"/>
      <w:r w:rsidRPr="00220098">
        <w:rPr>
          <w:rFonts w:ascii="Arial Narrow" w:hAnsi="Arial Narrow"/>
        </w:rPr>
        <w:t>Tolsma</w:t>
      </w:r>
      <w:proofErr w:type="spellEnd"/>
      <w:r w:rsidRPr="00220098">
        <w:rPr>
          <w:rFonts w:ascii="Arial Narrow" w:hAnsi="Arial Narrow"/>
        </w:rPr>
        <w:t xml:space="preserve"> AD., </w:t>
      </w:r>
      <w:proofErr w:type="spellStart"/>
      <w:r w:rsidRPr="00220098">
        <w:rPr>
          <w:rFonts w:ascii="Arial Narrow" w:hAnsi="Arial Narrow"/>
        </w:rPr>
        <w:t>Wainer</w:t>
      </w:r>
      <w:proofErr w:type="spellEnd"/>
      <w:r w:rsidRPr="00220098">
        <w:rPr>
          <w:rFonts w:ascii="Arial Narrow" w:hAnsi="Arial Narrow"/>
        </w:rPr>
        <w:t xml:space="preserve">, J. &amp; Yen AL. (2010). Box–Ironbark Ecological Thinning Trial: Integrated Analysis and Projected Changes. </w:t>
      </w:r>
      <w:proofErr w:type="gramStart"/>
      <w:r w:rsidRPr="00220098">
        <w:rPr>
          <w:rFonts w:ascii="Arial Narrow" w:hAnsi="Arial Narrow"/>
          <w:i/>
        </w:rPr>
        <w:t>Parks Victoria Technical Series</w:t>
      </w:r>
      <w:r w:rsidRPr="00220098">
        <w:rPr>
          <w:rFonts w:ascii="Arial Narrow" w:hAnsi="Arial Narrow"/>
        </w:rPr>
        <w:t xml:space="preserve"> No. 58.</w:t>
      </w:r>
      <w:proofErr w:type="gramEnd"/>
      <w:r w:rsidRPr="00220098">
        <w:rPr>
          <w:rFonts w:ascii="Arial Narrow" w:hAnsi="Arial Narrow"/>
        </w:rPr>
        <w:t xml:space="preserve"> Parks Victoria, Melbourne.</w:t>
      </w:r>
    </w:p>
    <w:p w:rsidR="00092DD1" w:rsidRPr="00220098" w:rsidRDefault="00092DD1" w:rsidP="00092DD1">
      <w:pPr>
        <w:rPr>
          <w:rFonts w:ascii="Arial Narrow" w:hAnsi="Arial Narrow"/>
          <w:b/>
        </w:rPr>
      </w:pPr>
      <w:r w:rsidRPr="00220098">
        <w:rPr>
          <w:rFonts w:ascii="Arial Narrow" w:hAnsi="Arial Narrow"/>
          <w:b/>
        </w:rPr>
        <w:t>Executive summary</w:t>
      </w:r>
    </w:p>
    <w:p w:rsidR="00092DD1" w:rsidRPr="00220098" w:rsidRDefault="00092DD1" w:rsidP="00092DD1">
      <w:pPr>
        <w:rPr>
          <w:rFonts w:ascii="Arial Narrow" w:hAnsi="Arial Narrow"/>
        </w:rPr>
      </w:pPr>
      <w:r w:rsidRPr="00220098">
        <w:rPr>
          <w:rFonts w:ascii="Arial Narrow" w:hAnsi="Arial Narrow"/>
        </w:rPr>
        <w:t>In 2002, Parks Victoria established a management-scale experiment to examine the effectiveness and feasibility of ecological thinning as a means for restoring Victoria’s Box–Ironbark forests. The Box–Ironbark Ecological Thinning Trial (the Trial) took an adaptive experimental management approach to investigate how ecological thinning may be used to restore a greater diversity of habitat types to the Box–Ironbark landscape and therefore allow improved functioning and persistence of key communities and species populations.</w:t>
      </w:r>
    </w:p>
    <w:p w:rsidR="00092DD1" w:rsidRPr="00220098" w:rsidRDefault="00092DD1" w:rsidP="00092DD1">
      <w:pPr>
        <w:rPr>
          <w:rFonts w:ascii="Arial Narrow" w:hAnsi="Arial Narrow"/>
        </w:rPr>
      </w:pPr>
      <w:r w:rsidRPr="00220098">
        <w:rPr>
          <w:rFonts w:ascii="Arial Narrow" w:hAnsi="Arial Narrow"/>
        </w:rPr>
        <w:t xml:space="preserve">The Trial was implemented in four Parks Victoria reserves (the Sites) in the Box–Ironbark region of central Victoria (Castlemaine Diggings National Heritage Park, Pilchers Bridge Nature Conservation Reserve, Spring Plains Nature Conservation Reserve and </w:t>
      </w:r>
      <w:proofErr w:type="spellStart"/>
      <w:r w:rsidRPr="00220098">
        <w:rPr>
          <w:rFonts w:ascii="Arial Narrow" w:hAnsi="Arial Narrow"/>
        </w:rPr>
        <w:t>Paddys</w:t>
      </w:r>
      <w:proofErr w:type="spellEnd"/>
      <w:r w:rsidRPr="00220098">
        <w:rPr>
          <w:rFonts w:ascii="Arial Narrow" w:hAnsi="Arial Narrow"/>
        </w:rPr>
        <w:t xml:space="preserve"> Ranges State Park). At each Site, treatments with varied rates of tree removal and retained patchiness (Control, Isolated Patchy 1 and Patchy 2) were implemented in 30-ha Plots. Within these Plots, three coarse-woody-debris manipulations were applied: 100% removal; 50% retention; and 100% retention of bole material.</w:t>
      </w:r>
    </w:p>
    <w:p w:rsidR="00092DD1" w:rsidRPr="00220098" w:rsidRDefault="00092DD1" w:rsidP="00092DD1">
      <w:pPr>
        <w:rPr>
          <w:rFonts w:ascii="Arial Narrow" w:hAnsi="Arial Narrow"/>
        </w:rPr>
      </w:pPr>
      <w:r w:rsidRPr="00220098">
        <w:rPr>
          <w:rFonts w:ascii="Arial Narrow" w:hAnsi="Arial Narrow"/>
        </w:rPr>
        <w:t>As part of the Trial, a research and monitoring program (Phase 1), focusing on forest structure, selected biodiversity elements and habitat features, was established to examine the impacts that ecological thinning and the different experimental treatments had on key components of Box–Ironbark forests. This report documents the experimental design, the pre- and post-thinning monitoring results of selected biodiversity and habitat attributes across all Sites and discusses the implications of these results and their potential future trajectories. As the Trial used an adaptive experimental approach, changes or additions to the ongoing monitoring design to enhance outcomes are also discussed.</w:t>
      </w:r>
    </w:p>
    <w:p w:rsidR="00092DD1" w:rsidRPr="00220098" w:rsidRDefault="00092DD1" w:rsidP="00092DD1">
      <w:pPr>
        <w:rPr>
          <w:rFonts w:ascii="Arial Narrow" w:hAnsi="Arial Narrow"/>
        </w:rPr>
      </w:pPr>
      <w:r w:rsidRPr="00220098">
        <w:rPr>
          <w:rFonts w:ascii="Arial Narrow" w:hAnsi="Arial Narrow"/>
        </w:rPr>
        <w:t>Before ecological thinning commenced, Plots were dominated by high numbers of coppice-generated trees (up to approximately 1500 stems per hectare). Less than 3% of trees were considered large (&gt;60 cm diameter) and only 3% were hollow-bearing, implying limited availability of habitat for a number of threatened fauna. Pre-thinning, Plots contained very small amounts of coarse woody debris, particularly large pieces (&gt;10 cm diameter).</w:t>
      </w:r>
    </w:p>
    <w:p w:rsidR="00092DD1" w:rsidRPr="00220098" w:rsidRDefault="00092DD1" w:rsidP="00092DD1">
      <w:pPr>
        <w:rPr>
          <w:rFonts w:ascii="Arial Narrow" w:hAnsi="Arial Narrow"/>
        </w:rPr>
      </w:pPr>
      <w:r w:rsidRPr="00220098">
        <w:rPr>
          <w:rFonts w:ascii="Arial Narrow" w:hAnsi="Arial Narrow"/>
        </w:rPr>
        <w:t xml:space="preserve">As a result of ecological thinning: </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b/>
        </w:rPr>
        <w:t>Stem density</w:t>
      </w:r>
      <w:r w:rsidRPr="00220098">
        <w:rPr>
          <w:rFonts w:ascii="Arial Narrow" w:hAnsi="Arial Narrow"/>
        </w:rPr>
        <w:t xml:space="preserve"> was significantly reduced; </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b/>
        </w:rPr>
        <w:t>Mean stem diameter</w:t>
      </w:r>
      <w:r w:rsidRPr="00220098">
        <w:rPr>
          <w:rFonts w:ascii="Arial Narrow" w:hAnsi="Arial Narrow"/>
        </w:rPr>
        <w:t xml:space="preserve"> increased; </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b/>
        </w:rPr>
        <w:t>Coarse woody debris</w:t>
      </w:r>
      <w:r w:rsidRPr="00220098">
        <w:rPr>
          <w:rFonts w:ascii="Arial Narrow" w:hAnsi="Arial Narrow"/>
        </w:rPr>
        <w:t xml:space="preserve"> increased across all thinned Plots, including significant increases in large pieces of coarse woody debris; </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rPr>
        <w:t xml:space="preserve">Changes to other habitat features post thinning, including </w:t>
      </w:r>
      <w:r w:rsidRPr="00220098">
        <w:rPr>
          <w:rFonts w:ascii="Arial Narrow" w:hAnsi="Arial Narrow"/>
          <w:b/>
        </w:rPr>
        <w:t>fine debris</w:t>
      </w:r>
      <w:r w:rsidRPr="00220098">
        <w:rPr>
          <w:rFonts w:ascii="Arial Narrow" w:hAnsi="Arial Narrow"/>
        </w:rPr>
        <w:t>, were measurably higher than pre-thinning values;</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rPr>
        <w:t xml:space="preserve">Vegetation responses to thinning included </w:t>
      </w:r>
      <w:r w:rsidRPr="00220098">
        <w:rPr>
          <w:rFonts w:ascii="Arial Narrow" w:hAnsi="Arial Narrow"/>
          <w:b/>
        </w:rPr>
        <w:t>increased herb and tussock-grass cover</w:t>
      </w:r>
      <w:r w:rsidRPr="00220098">
        <w:rPr>
          <w:rFonts w:ascii="Arial Narrow" w:hAnsi="Arial Narrow"/>
        </w:rPr>
        <w:t>;</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b/>
        </w:rPr>
        <w:t>More profuse flowering of herbs and shrubs</w:t>
      </w:r>
      <w:r w:rsidRPr="00220098">
        <w:rPr>
          <w:rFonts w:ascii="Arial Narrow" w:hAnsi="Arial Narrow"/>
        </w:rPr>
        <w:t>;</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rPr>
        <w:t xml:space="preserve">There was also a </w:t>
      </w:r>
      <w:r w:rsidRPr="00220098">
        <w:rPr>
          <w:rFonts w:ascii="Arial Narrow" w:hAnsi="Arial Narrow"/>
          <w:b/>
        </w:rPr>
        <w:t>decrease in perennial-shrub cover</w:t>
      </w:r>
      <w:r w:rsidRPr="00220098">
        <w:rPr>
          <w:rFonts w:ascii="Arial Narrow" w:hAnsi="Arial Narrow"/>
        </w:rPr>
        <w:t>;</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rPr>
        <w:t xml:space="preserve"> An initial, probably temporary, </w:t>
      </w:r>
      <w:r w:rsidRPr="00220098">
        <w:rPr>
          <w:rFonts w:ascii="Arial Narrow" w:hAnsi="Arial Narrow"/>
          <w:b/>
        </w:rPr>
        <w:t>increase in annual weed grasses</w:t>
      </w:r>
      <w:r w:rsidRPr="00220098">
        <w:rPr>
          <w:rFonts w:ascii="Arial Narrow" w:hAnsi="Arial Narrow"/>
        </w:rPr>
        <w:t xml:space="preserve">. </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rPr>
        <w:t xml:space="preserve">Among vertebrate fauna, thinning affected the occurrence of </w:t>
      </w:r>
      <w:r w:rsidRPr="00220098">
        <w:rPr>
          <w:rFonts w:ascii="Arial Narrow" w:hAnsi="Arial Narrow"/>
          <w:b/>
        </w:rPr>
        <w:t>some diurnal birds</w:t>
      </w:r>
      <w:r w:rsidRPr="00220098">
        <w:rPr>
          <w:rFonts w:ascii="Arial Narrow" w:hAnsi="Arial Narrow"/>
        </w:rPr>
        <w:t xml:space="preserve"> as well as </w:t>
      </w:r>
      <w:r w:rsidRPr="00220098">
        <w:rPr>
          <w:rFonts w:ascii="Arial Narrow" w:hAnsi="Arial Narrow"/>
          <w:b/>
        </w:rPr>
        <w:t>some other vertebrate groups</w:t>
      </w:r>
      <w:r w:rsidRPr="00220098">
        <w:rPr>
          <w:rFonts w:ascii="Arial Narrow" w:hAnsi="Arial Narrow"/>
        </w:rPr>
        <w:t>;</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b/>
        </w:rPr>
        <w:t>Species richness</w:t>
      </w:r>
      <w:r w:rsidRPr="00220098">
        <w:rPr>
          <w:rFonts w:ascii="Arial Narrow" w:hAnsi="Arial Narrow"/>
        </w:rPr>
        <w:t xml:space="preserve"> </w:t>
      </w:r>
      <w:r w:rsidRPr="00220098">
        <w:rPr>
          <w:rFonts w:ascii="Arial Narrow" w:hAnsi="Arial Narrow"/>
          <w:b/>
        </w:rPr>
        <w:t>was greater among bird assemblages</w:t>
      </w:r>
      <w:r w:rsidRPr="00220098">
        <w:rPr>
          <w:rFonts w:ascii="Arial Narrow" w:hAnsi="Arial Narrow"/>
        </w:rPr>
        <w:t xml:space="preserve"> (esp. understorey birds) after thinning, although this may have been influenced by the timing of surveys;</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b/>
        </w:rPr>
        <w:t>Bat activity was greater</w:t>
      </w:r>
      <w:r w:rsidRPr="00220098">
        <w:rPr>
          <w:rFonts w:ascii="Arial Narrow" w:hAnsi="Arial Narrow"/>
        </w:rPr>
        <w:t xml:space="preserve"> in Plots after thinning;</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rPr>
        <w:t xml:space="preserve">Other vertebrates, including </w:t>
      </w:r>
      <w:r w:rsidRPr="00220098">
        <w:rPr>
          <w:rFonts w:ascii="Arial Narrow" w:hAnsi="Arial Narrow"/>
          <w:b/>
        </w:rPr>
        <w:t>terrestrial and arboreal mammals, appeared to remain stable or displayed positive responses</w:t>
      </w:r>
      <w:r w:rsidRPr="00220098">
        <w:rPr>
          <w:rFonts w:ascii="Arial Narrow" w:hAnsi="Arial Narrow"/>
        </w:rPr>
        <w:t>; and</w:t>
      </w:r>
    </w:p>
    <w:p w:rsidR="00092DD1" w:rsidRPr="00220098" w:rsidRDefault="00092DD1" w:rsidP="00092DD1">
      <w:pPr>
        <w:pStyle w:val="ListParagraph"/>
        <w:numPr>
          <w:ilvl w:val="0"/>
          <w:numId w:val="1"/>
        </w:numPr>
        <w:rPr>
          <w:rFonts w:ascii="Arial Narrow" w:hAnsi="Arial Narrow"/>
        </w:rPr>
      </w:pPr>
      <w:r w:rsidRPr="00220098">
        <w:rPr>
          <w:rFonts w:ascii="Arial Narrow" w:hAnsi="Arial Narrow"/>
        </w:rPr>
        <w:t xml:space="preserve">Ground invertebrate assemblages were dominated by ants in species richness and total abundance, which in turn were dominated by a small number of </w:t>
      </w:r>
      <w:r w:rsidRPr="00220098">
        <w:rPr>
          <w:rFonts w:ascii="Arial Narrow" w:hAnsi="Arial Narrow"/>
          <w:b/>
        </w:rPr>
        <w:t>opportunistic ant species which responded positively</w:t>
      </w:r>
      <w:r w:rsidRPr="00220098">
        <w:rPr>
          <w:rFonts w:ascii="Arial Narrow" w:hAnsi="Arial Narrow"/>
        </w:rPr>
        <w:t xml:space="preserve"> to disturbance associated with thinning.</w:t>
      </w:r>
    </w:p>
    <w:p w:rsidR="00220098" w:rsidRDefault="00220098">
      <w:pPr>
        <w:rPr>
          <w:rFonts w:ascii="Arial Narrow" w:hAnsi="Arial Narrow"/>
        </w:rPr>
      </w:pPr>
      <w:r>
        <w:rPr>
          <w:rFonts w:ascii="Arial Narrow" w:hAnsi="Arial Narrow"/>
        </w:rPr>
        <w:br w:type="page"/>
      </w:r>
    </w:p>
    <w:p w:rsidR="00D05092" w:rsidRDefault="00092DD1" w:rsidP="00092DD1">
      <w:pPr>
        <w:rPr>
          <w:rFonts w:ascii="Arial Narrow" w:hAnsi="Arial Narrow"/>
        </w:rPr>
      </w:pPr>
      <w:r w:rsidRPr="00220098">
        <w:rPr>
          <w:rFonts w:ascii="Arial Narrow" w:hAnsi="Arial Narrow"/>
        </w:rPr>
        <w:lastRenderedPageBreak/>
        <w:t xml:space="preserve">The results presented in this report document the pre-thinning conditions and initial post-thinning conditions and </w:t>
      </w:r>
      <w:proofErr w:type="gramStart"/>
      <w:r w:rsidRPr="00220098">
        <w:rPr>
          <w:rFonts w:ascii="Arial Narrow" w:hAnsi="Arial Narrow"/>
        </w:rPr>
        <w:t>provide</w:t>
      </w:r>
      <w:proofErr w:type="gramEnd"/>
      <w:r w:rsidRPr="00220098">
        <w:rPr>
          <w:rFonts w:ascii="Arial Narrow" w:hAnsi="Arial Narrow"/>
        </w:rPr>
        <w:t xml:space="preserve"> a benchmark for the ongoing monitoring of the Trial. These results have been used to predict the future trajectories of biodiversity and habitat features for the Trial. As such, this report will make an important contribution to the future management of Victoria’s Box–Ironbark parks and reserves system.</w:t>
      </w:r>
    </w:p>
    <w:p w:rsidR="00220098" w:rsidRDefault="00220098" w:rsidP="00092DD1">
      <w:pPr>
        <w:rPr>
          <w:rFonts w:ascii="Arial Narrow" w:hAnsi="Arial Narrow"/>
        </w:rPr>
      </w:pPr>
      <w:r>
        <w:rPr>
          <w:noProof/>
          <w:lang w:eastAsia="en-AU"/>
        </w:rPr>
        <w:drawing>
          <wp:anchor distT="0" distB="0" distL="114300" distR="114300" simplePos="0" relativeHeight="251658240" behindDoc="0" locked="0" layoutInCell="1" allowOverlap="1" wp14:anchorId="723B8085" wp14:editId="6FBE6F91">
            <wp:simplePos x="0" y="0"/>
            <wp:positionH relativeFrom="column">
              <wp:posOffset>-28575</wp:posOffset>
            </wp:positionH>
            <wp:positionV relativeFrom="paragraph">
              <wp:posOffset>182880</wp:posOffset>
            </wp:positionV>
            <wp:extent cx="5543550" cy="33743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4744" t="17104" r="20513" b="12771"/>
                    <a:stretch/>
                  </pic:blipFill>
                  <pic:spPr bwMode="auto">
                    <a:xfrm>
                      <a:off x="0" y="0"/>
                      <a:ext cx="5543550" cy="337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0098" w:rsidRDefault="00220098" w:rsidP="00092DD1">
      <w:pPr>
        <w:rPr>
          <w:rFonts w:ascii="Arial Narrow" w:hAnsi="Arial Narrow"/>
        </w:rPr>
      </w:pPr>
      <w:r>
        <w:rPr>
          <w:rFonts w:ascii="Arial Narrow" w:hAnsi="Arial Narrow"/>
        </w:rPr>
        <w:br w:type="textWrapping" w:clear="all"/>
      </w:r>
    </w:p>
    <w:p w:rsidR="00220098" w:rsidRDefault="000243C6" w:rsidP="00092DD1">
      <w:pPr>
        <w:rPr>
          <w:rFonts w:ascii="Arial Narrow" w:hAnsi="Arial Narrow"/>
        </w:rPr>
      </w:pPr>
      <w:r>
        <w:rPr>
          <w:rFonts w:ascii="Arial Narrow" w:hAnsi="Arial Narrow"/>
          <w:noProof/>
          <w:lang w:eastAsia="en-AU"/>
        </w:rPr>
        <w:drawing>
          <wp:inline distT="0" distB="0" distL="0" distR="0">
            <wp:extent cx="6645910" cy="37560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wton ET trial plots G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3756025"/>
                    </a:xfrm>
                    <a:prstGeom prst="rect">
                      <a:avLst/>
                    </a:prstGeom>
                  </pic:spPr>
                </pic:pic>
              </a:graphicData>
            </a:graphic>
          </wp:inline>
        </w:drawing>
      </w:r>
    </w:p>
    <w:p w:rsidR="00220098" w:rsidRDefault="00220098" w:rsidP="00092DD1">
      <w:pPr>
        <w:rPr>
          <w:rFonts w:ascii="Arial Narrow" w:hAnsi="Arial Narrow"/>
        </w:rPr>
      </w:pPr>
      <w:r>
        <w:rPr>
          <w:rFonts w:ascii="Arial Narrow" w:hAnsi="Arial Narrow"/>
          <w:noProof/>
          <w:lang w:eastAsia="en-AU"/>
        </w:rPr>
        <w:lastRenderedPageBreak/>
        <w:drawing>
          <wp:inline distT="0" distB="0" distL="0" distR="0">
            <wp:extent cx="9169612" cy="6876771"/>
            <wp:effectExtent l="349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bourne Thinning Slide.bmp"/>
                    <pic:cNvPicPr/>
                  </pic:nvPicPr>
                  <pic:blipFill>
                    <a:blip r:embed="rId8">
                      <a:extLst>
                        <a:ext uri="{28A0092B-C50C-407E-A947-70E740481C1C}">
                          <a14:useLocalDpi xmlns:a14="http://schemas.microsoft.com/office/drawing/2010/main" val="0"/>
                        </a:ext>
                      </a:extLst>
                    </a:blip>
                    <a:stretch>
                      <a:fillRect/>
                    </a:stretch>
                  </pic:blipFill>
                  <pic:spPr>
                    <a:xfrm rot="5400000">
                      <a:off x="0" y="0"/>
                      <a:ext cx="9174287" cy="6880277"/>
                    </a:xfrm>
                    <a:prstGeom prst="rect">
                      <a:avLst/>
                    </a:prstGeom>
                  </pic:spPr>
                </pic:pic>
              </a:graphicData>
            </a:graphic>
          </wp:inline>
        </w:drawing>
      </w:r>
    </w:p>
    <w:p w:rsidR="000145FE" w:rsidRDefault="000145FE" w:rsidP="00092DD1">
      <w:pPr>
        <w:rPr>
          <w:rFonts w:ascii="Arial Narrow" w:hAnsi="Arial Narrow"/>
        </w:rPr>
      </w:pPr>
      <w:r>
        <w:rPr>
          <w:rFonts w:ascii="Arial Narrow" w:hAnsi="Arial Narrow"/>
          <w:noProof/>
          <w:lang w:eastAsia="en-AU"/>
        </w:rPr>
        <w:lastRenderedPageBreak/>
        <w:drawing>
          <wp:inline distT="0" distB="0" distL="0" distR="0">
            <wp:extent cx="9721964" cy="6226478"/>
            <wp:effectExtent l="0" t="4763" r="7938" b="7937"/>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ton Thinning Trial Micro_catchment GEP.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9732193" cy="6233029"/>
                    </a:xfrm>
                    <a:prstGeom prst="rect">
                      <a:avLst/>
                    </a:prstGeom>
                  </pic:spPr>
                </pic:pic>
              </a:graphicData>
            </a:graphic>
          </wp:inline>
        </w:drawing>
      </w:r>
    </w:p>
    <w:p w:rsidR="002B5C66" w:rsidRDefault="002B5C66" w:rsidP="00092DD1">
      <w:pPr>
        <w:rPr>
          <w:rFonts w:ascii="Arial Narrow" w:hAnsi="Arial Narrow"/>
        </w:rPr>
        <w:sectPr w:rsidR="002B5C66" w:rsidSect="00092DD1">
          <w:pgSz w:w="11906" w:h="16838"/>
          <w:pgMar w:top="720" w:right="720" w:bottom="720" w:left="720" w:header="708" w:footer="708" w:gutter="0"/>
          <w:cols w:space="708"/>
          <w:docGrid w:linePitch="360"/>
        </w:sectPr>
      </w:pPr>
    </w:p>
    <w:p w:rsidR="002B5C66" w:rsidRPr="002B5C66" w:rsidRDefault="002B5C66" w:rsidP="00092DD1">
      <w:pPr>
        <w:rPr>
          <w:b/>
        </w:rPr>
      </w:pPr>
      <w:r w:rsidRPr="002B5C66">
        <w:rPr>
          <w:b/>
        </w:rPr>
        <w:lastRenderedPageBreak/>
        <w:t>Site</w:t>
      </w:r>
      <w:r>
        <w:rPr>
          <w:b/>
        </w:rPr>
        <w:t xml:space="preserve">: </w:t>
      </w:r>
      <w:r>
        <w:rPr>
          <w:b/>
        </w:rPr>
        <w:tab/>
      </w:r>
      <w:r>
        <w:rPr>
          <w:b/>
        </w:rPr>
        <w:tab/>
      </w:r>
      <w:bookmarkStart w:id="0" w:name="_GoBack"/>
      <w:bookmarkEnd w:id="0"/>
      <w:r>
        <w:rPr>
          <w:b/>
        </w:rPr>
        <w:tab/>
      </w:r>
      <w:r>
        <w:rPr>
          <w:b/>
        </w:rPr>
        <w:tab/>
      </w:r>
      <w:r>
        <w:rPr>
          <w:b/>
        </w:rPr>
        <w:tab/>
      </w:r>
      <w:r>
        <w:rPr>
          <w:b/>
        </w:rPr>
        <w:tab/>
        <w:t>Date:</w:t>
      </w:r>
    </w:p>
    <w:p w:rsidR="002B5C66" w:rsidRDefault="002B5C66" w:rsidP="00092DD1">
      <w:pPr>
        <w:rPr>
          <w:rFonts w:ascii="Arial Narrow" w:hAnsi="Arial Narrow"/>
        </w:rPr>
      </w:pPr>
      <w:r w:rsidRPr="002B5C66">
        <w:drawing>
          <wp:inline distT="0" distB="0" distL="0" distR="0" wp14:anchorId="2FBA3ECA" wp14:editId="170791AB">
            <wp:extent cx="9439329" cy="38766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5723" cy="3875194"/>
                    </a:xfrm>
                    <a:prstGeom prst="rect">
                      <a:avLst/>
                    </a:prstGeom>
                    <a:noFill/>
                    <a:ln>
                      <a:noFill/>
                    </a:ln>
                  </pic:spPr>
                </pic:pic>
              </a:graphicData>
            </a:graphic>
          </wp:inline>
        </w:drawing>
      </w:r>
    </w:p>
    <w:p w:rsidR="002B5C66" w:rsidRPr="002B5C66" w:rsidRDefault="002B5C66" w:rsidP="00092DD1">
      <w:pPr>
        <w:rPr>
          <w:rFonts w:ascii="Arial Narrow" w:hAnsi="Arial Narrow"/>
          <w:b/>
        </w:rPr>
      </w:pPr>
      <w:r w:rsidRPr="002B5C66">
        <w:rPr>
          <w:rFonts w:ascii="Arial Narrow" w:hAnsi="Arial Narrow"/>
          <w:b/>
        </w:rPr>
        <w:t>Sub-quadrats</w:t>
      </w:r>
    </w:p>
    <w:p w:rsidR="002B5C66" w:rsidRPr="00220098" w:rsidRDefault="002B5C66" w:rsidP="00092DD1">
      <w:pPr>
        <w:rPr>
          <w:rFonts w:ascii="Arial Narrow" w:hAnsi="Arial Narrow"/>
        </w:rPr>
      </w:pPr>
      <w:r w:rsidRPr="002B5C66">
        <w:drawing>
          <wp:inline distT="0" distB="0" distL="0" distR="0">
            <wp:extent cx="8343900" cy="1981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43900" cy="1981200"/>
                    </a:xfrm>
                    <a:prstGeom prst="rect">
                      <a:avLst/>
                    </a:prstGeom>
                    <a:noFill/>
                    <a:ln>
                      <a:noFill/>
                    </a:ln>
                  </pic:spPr>
                </pic:pic>
              </a:graphicData>
            </a:graphic>
          </wp:inline>
        </w:drawing>
      </w:r>
    </w:p>
    <w:sectPr w:rsidR="002B5C66" w:rsidRPr="00220098" w:rsidSect="002B5C66">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41B90"/>
    <w:multiLevelType w:val="hybridMultilevel"/>
    <w:tmpl w:val="33FCD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DD1"/>
    <w:rsid w:val="000145FE"/>
    <w:rsid w:val="000243C6"/>
    <w:rsid w:val="00092DD1"/>
    <w:rsid w:val="00220098"/>
    <w:rsid w:val="002B5C66"/>
    <w:rsid w:val="003671C4"/>
    <w:rsid w:val="00445011"/>
    <w:rsid w:val="005B1D0F"/>
    <w:rsid w:val="00D050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DD1"/>
    <w:pPr>
      <w:ind w:left="720"/>
      <w:contextualSpacing/>
    </w:pPr>
  </w:style>
  <w:style w:type="paragraph" w:styleId="BalloonText">
    <w:name w:val="Balloon Text"/>
    <w:basedOn w:val="Normal"/>
    <w:link w:val="BalloonTextChar"/>
    <w:uiPriority w:val="99"/>
    <w:semiHidden/>
    <w:unhideWhenUsed/>
    <w:rsid w:val="00220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2DD1"/>
    <w:pPr>
      <w:ind w:left="720"/>
      <w:contextualSpacing/>
    </w:pPr>
  </w:style>
  <w:style w:type="paragraph" w:styleId="BalloonText">
    <w:name w:val="Balloon Text"/>
    <w:basedOn w:val="Normal"/>
    <w:link w:val="BalloonTextChar"/>
    <w:uiPriority w:val="99"/>
    <w:semiHidden/>
    <w:unhideWhenUsed/>
    <w:rsid w:val="00220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2017-04-30T23:36:00Z</cp:lastPrinted>
  <dcterms:created xsi:type="dcterms:W3CDTF">2017-04-30T23:36:00Z</dcterms:created>
  <dcterms:modified xsi:type="dcterms:W3CDTF">2017-04-30T23:36:00Z</dcterms:modified>
</cp:coreProperties>
</file>