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340" w:rsidRPr="000A0225" w:rsidRDefault="00077171" w:rsidP="00D01790">
      <w:pPr>
        <w:pStyle w:val="outletref"/>
        <w:jc w:val="both"/>
      </w:pPr>
      <w:r w:rsidRPr="000A0225">
        <w:t>Enquiry</w:t>
      </w:r>
      <w:r w:rsidRPr="000A0225">
        <w:t xml:space="preserve"> </w:t>
      </w:r>
      <w:r w:rsidRPr="000A0225">
        <w:t>Phone:</w:t>
      </w:r>
      <w:r w:rsidRPr="000A0225">
        <w:tab/>
        <w:t>Customer Service (07) 3412 5269</w:t>
      </w:r>
    </w:p>
    <w:p w:rsidR="00826340" w:rsidRPr="000A0225" w:rsidRDefault="00077171" w:rsidP="00D01790">
      <w:pPr>
        <w:pStyle w:val="outletref"/>
        <w:jc w:val="both"/>
      </w:pPr>
      <w:r w:rsidRPr="000A0225">
        <w:t>Please Quote:</w:t>
      </w:r>
      <w:r w:rsidRPr="000A0225">
        <w:tab/>
      </w:r>
      <w:proofErr w:type="spellStart"/>
      <w:r w:rsidRPr="000A0225">
        <w:t>MCUI</w:t>
      </w:r>
      <w:proofErr w:type="spellEnd"/>
      <w:r w:rsidRPr="000A0225">
        <w:t xml:space="preserve">/21/2015 </w:t>
      </w:r>
    </w:p>
    <w:p w:rsidR="00826340" w:rsidRPr="000A0225" w:rsidRDefault="00077171" w:rsidP="00D01790">
      <w:pPr>
        <w:pStyle w:val="outletref"/>
        <w:jc w:val="both"/>
      </w:pPr>
      <w:r w:rsidRPr="000A0225">
        <w:t>Document Reference:</w:t>
      </w:r>
      <w:r w:rsidRPr="000A0225">
        <w:tab/>
      </w:r>
      <w:r w:rsidR="00C12D5C">
        <w:t>9868005/</w:t>
      </w:r>
      <w:proofErr w:type="spellStart"/>
      <w:r w:rsidR="00C12D5C">
        <w:t>gibsonj</w:t>
      </w:r>
      <w:proofErr w:type="gramStart"/>
      <w:r w:rsidR="00C12D5C">
        <w:t>:haywosh</w:t>
      </w:r>
      <w:proofErr w:type="spellEnd"/>
      <w:proofErr w:type="gramEnd"/>
    </w:p>
    <w:p w:rsidR="00826340" w:rsidRPr="000A0225" w:rsidRDefault="00077171" w:rsidP="00D01790">
      <w:pPr>
        <w:pStyle w:val="outletref"/>
        <w:jc w:val="both"/>
      </w:pPr>
      <w:r w:rsidRPr="000A0225">
        <w:t>Property Key:</w:t>
      </w:r>
      <w:r w:rsidRPr="000A0225">
        <w:tab/>
        <w:t>238346</w:t>
      </w:r>
    </w:p>
    <w:p w:rsidR="00E5212D" w:rsidRDefault="00077171" w:rsidP="003F3DD9">
      <w:pPr>
        <w:pStyle w:val="outletref"/>
      </w:pPr>
      <w:r w:rsidRPr="000A0225">
        <w:t>File Number:</w:t>
      </w:r>
      <w:r w:rsidRPr="000A0225">
        <w:tab/>
      </w:r>
      <w:r w:rsidRPr="003F3DD9">
        <w:t>945257-1</w:t>
      </w:r>
    </w:p>
    <w:p w:rsidR="00A30D8B" w:rsidRPr="001875EE" w:rsidRDefault="00077171" w:rsidP="001875EE">
      <w:pPr>
        <w:pStyle w:val="outletref"/>
        <w:rPr>
          <w:vanish/>
        </w:rPr>
      </w:pPr>
    </w:p>
    <w:p w:rsidR="00826340" w:rsidRPr="000A0225" w:rsidRDefault="00077171" w:rsidP="00D01790">
      <w:pPr>
        <w:pStyle w:val="outletref"/>
        <w:jc w:val="both"/>
      </w:pPr>
    </w:p>
    <w:p w:rsidR="000A0225" w:rsidRPr="000A0225" w:rsidRDefault="00077171" w:rsidP="00D01790">
      <w:pPr>
        <w:jc w:val="both"/>
      </w:pPr>
    </w:p>
    <w:p w:rsidR="000A0225" w:rsidRDefault="00077171" w:rsidP="00D01790">
      <w:pPr>
        <w:jc w:val="both"/>
      </w:pPr>
    </w:p>
    <w:p w:rsidR="00ED0E04" w:rsidRPr="000A0225" w:rsidRDefault="00077171" w:rsidP="00D01790">
      <w:pPr>
        <w:jc w:val="both"/>
      </w:pPr>
    </w:p>
    <w:p w:rsidR="00826340" w:rsidRPr="000A0225" w:rsidRDefault="00077171" w:rsidP="00D01790">
      <w:pPr>
        <w:jc w:val="both"/>
      </w:pPr>
      <w:r w:rsidRPr="000A0225">
        <w:t>23 September 2015</w:t>
      </w:r>
    </w:p>
    <w:p w:rsidR="00F577F4" w:rsidRPr="000A0225" w:rsidRDefault="00077171" w:rsidP="00D01790">
      <w:pPr>
        <w:jc w:val="both"/>
      </w:pPr>
    </w:p>
    <w:p w:rsidR="00F577F4" w:rsidRPr="000A0225" w:rsidRDefault="00077171" w:rsidP="00D01790">
      <w:pPr>
        <w:jc w:val="both"/>
      </w:pPr>
    </w:p>
    <w:p w:rsidR="00826340" w:rsidRPr="00876C77" w:rsidRDefault="00077171" w:rsidP="00D01790">
      <w:pPr>
        <w:pStyle w:val="FSBCB"/>
        <w:jc w:val="both"/>
      </w:pPr>
    </w:p>
    <w:p w:rsidR="00826340" w:rsidRPr="000A0225" w:rsidRDefault="00EC40F0" w:rsidP="00D01790">
      <w:pPr>
        <w:jc w:val="both"/>
      </w:pPr>
      <w:proofErr w:type="spellStart"/>
      <w:r w:rsidRPr="000A0225">
        <w:t>Hydrox</w:t>
      </w:r>
      <w:proofErr w:type="spellEnd"/>
      <w:r w:rsidRPr="000A0225">
        <w:t xml:space="preserve"> Nominees Pty Ltd</w:t>
      </w:r>
    </w:p>
    <w:p w:rsidR="000A0225" w:rsidRPr="000A0225" w:rsidRDefault="00EC40F0" w:rsidP="00D01790">
      <w:pPr>
        <w:jc w:val="both"/>
      </w:pPr>
      <w:r w:rsidRPr="000A0225">
        <w:t>C/- Urbis Pty Ltd</w:t>
      </w:r>
    </w:p>
    <w:p w:rsidR="000A0225" w:rsidRPr="000A0225" w:rsidRDefault="00077171" w:rsidP="00D01790">
      <w:pPr>
        <w:jc w:val="both"/>
      </w:pPr>
      <w:r w:rsidRPr="000A0225">
        <w:t>LEVEL 7, 123 Albert St</w:t>
      </w:r>
      <w:bookmarkStart w:id="0" w:name="_GoBack"/>
      <w:bookmarkEnd w:id="0"/>
    </w:p>
    <w:p w:rsidR="000A0225" w:rsidRPr="000A0225" w:rsidRDefault="00077171" w:rsidP="00D01790">
      <w:pPr>
        <w:jc w:val="both"/>
      </w:pPr>
      <w:proofErr w:type="gramStart"/>
      <w:r w:rsidRPr="000A0225">
        <w:t>BRISBANE  QLD</w:t>
      </w:r>
      <w:proofErr w:type="gramEnd"/>
      <w:r w:rsidRPr="000A0225">
        <w:t xml:space="preserve">  4000</w:t>
      </w:r>
    </w:p>
    <w:p w:rsidR="00826340" w:rsidRPr="000A0225" w:rsidRDefault="00077171" w:rsidP="00D01790">
      <w:pPr>
        <w:jc w:val="both"/>
      </w:pPr>
    </w:p>
    <w:p w:rsidR="000A0225" w:rsidRPr="000A0225" w:rsidRDefault="00077171" w:rsidP="00D01790">
      <w:pPr>
        <w:jc w:val="both"/>
      </w:pPr>
    </w:p>
    <w:p w:rsidR="00826340" w:rsidRPr="000A0225" w:rsidRDefault="00077171" w:rsidP="00D01790">
      <w:pPr>
        <w:jc w:val="both"/>
      </w:pPr>
      <w:r w:rsidRPr="000A0225">
        <w:t>Dear Sir/Madam</w:t>
      </w:r>
    </w:p>
    <w:p w:rsidR="0079258B" w:rsidRPr="000A0225" w:rsidRDefault="00077171" w:rsidP="00D01790">
      <w:pPr>
        <w:jc w:val="both"/>
      </w:pPr>
    </w:p>
    <w:p w:rsidR="0079258B" w:rsidRPr="000A0225" w:rsidRDefault="00077171" w:rsidP="00D01790">
      <w:pPr>
        <w:pStyle w:val="Outletsubjectnoline"/>
        <w:spacing w:after="60" w:line="240" w:lineRule="atLeast"/>
      </w:pPr>
      <w:r w:rsidRPr="000A0225">
        <w:t xml:space="preserve">DECISION NOTICE - </w:t>
      </w:r>
      <w:r w:rsidRPr="000A0225">
        <w:t>SUSTAINABLE PLANNING ACT 2009</w:t>
      </w:r>
    </w:p>
    <w:tbl>
      <w:tblPr>
        <w:tblW w:w="4946" w:type="pct"/>
        <w:tblLook w:val="01E0" w:firstRow="1" w:lastRow="1" w:firstColumn="1" w:lastColumn="1" w:noHBand="0" w:noVBand="0"/>
      </w:tblPr>
      <w:tblGrid>
        <w:gridCol w:w="3072"/>
        <w:gridCol w:w="6563"/>
      </w:tblGrid>
      <w:tr w:rsidR="00826340" w:rsidRPr="000A0225" w:rsidTr="009275DC">
        <w:tc>
          <w:tcPr>
            <w:tcW w:w="1594" w:type="pct"/>
            <w:shd w:val="clear" w:color="auto" w:fill="auto"/>
          </w:tcPr>
          <w:p w:rsidR="00826340" w:rsidRPr="00F63D00" w:rsidRDefault="00077171" w:rsidP="00D01790">
            <w:pPr>
              <w:pStyle w:val="Outletsubjectnoline"/>
            </w:pPr>
            <w:r w:rsidRPr="00F63D00">
              <w:t>APP</w:t>
            </w:r>
            <w:r w:rsidRPr="00F63D00">
              <w:t>lication n</w:t>
            </w:r>
            <w:r w:rsidRPr="00F63D00">
              <w:t>UMBER</w:t>
            </w:r>
          </w:p>
        </w:tc>
        <w:tc>
          <w:tcPr>
            <w:tcW w:w="3406" w:type="pct"/>
            <w:shd w:val="clear" w:color="auto" w:fill="auto"/>
          </w:tcPr>
          <w:p w:rsidR="00826340" w:rsidRPr="000A0225" w:rsidRDefault="00077171" w:rsidP="00D01790">
            <w:pPr>
              <w:pStyle w:val="Outletsubjectnoline"/>
            </w:pPr>
            <w:proofErr w:type="spellStart"/>
            <w:r w:rsidRPr="000A0225">
              <w:t>MCUI</w:t>
            </w:r>
            <w:proofErr w:type="spellEnd"/>
            <w:r w:rsidRPr="000A0225">
              <w:t>/21/2015</w:t>
            </w:r>
          </w:p>
        </w:tc>
      </w:tr>
      <w:tr w:rsidR="00826340" w:rsidRPr="000A0225" w:rsidTr="009275DC">
        <w:tc>
          <w:tcPr>
            <w:tcW w:w="1594" w:type="pct"/>
            <w:shd w:val="clear" w:color="auto" w:fill="auto"/>
          </w:tcPr>
          <w:p w:rsidR="00826340" w:rsidRPr="000A0225" w:rsidRDefault="00077171" w:rsidP="00D01790">
            <w:pPr>
              <w:pStyle w:val="Outletsubjectnoline"/>
            </w:pPr>
            <w:r w:rsidRPr="000A0225">
              <w:t>PROPERTY ADDRESS</w:t>
            </w:r>
          </w:p>
        </w:tc>
        <w:tc>
          <w:tcPr>
            <w:tcW w:w="3406" w:type="pct"/>
            <w:shd w:val="clear" w:color="auto" w:fill="auto"/>
          </w:tcPr>
          <w:p w:rsidR="00826340" w:rsidRPr="000A0225" w:rsidRDefault="00077171" w:rsidP="00D01790">
            <w:pPr>
              <w:pStyle w:val="Outletsubjectnoline"/>
            </w:pPr>
            <w:r w:rsidRPr="000A0225">
              <w:t>115 Compton Road, UNDERWOOD  QLD  4119</w:t>
            </w:r>
          </w:p>
        </w:tc>
      </w:tr>
      <w:tr w:rsidR="00826340" w:rsidRPr="000A0225" w:rsidTr="009275DC">
        <w:tc>
          <w:tcPr>
            <w:tcW w:w="1594" w:type="pct"/>
            <w:shd w:val="clear" w:color="auto" w:fill="auto"/>
          </w:tcPr>
          <w:p w:rsidR="00826340" w:rsidRPr="000A0225" w:rsidRDefault="00077171" w:rsidP="00D01790">
            <w:pPr>
              <w:pStyle w:val="Outletsubjectnoline"/>
            </w:pPr>
            <w:r w:rsidRPr="000A0225">
              <w:t>PROPERTY DESCRIPTION</w:t>
            </w:r>
          </w:p>
        </w:tc>
        <w:tc>
          <w:tcPr>
            <w:tcW w:w="3406" w:type="pct"/>
            <w:shd w:val="clear" w:color="auto" w:fill="auto"/>
          </w:tcPr>
          <w:p w:rsidR="00826340" w:rsidRPr="000A0225" w:rsidRDefault="00077171" w:rsidP="00D01790">
            <w:pPr>
              <w:pStyle w:val="Outletsubjectnoline"/>
            </w:pPr>
            <w:r>
              <w:t>Lot 2 SP 145157</w:t>
            </w:r>
          </w:p>
        </w:tc>
      </w:tr>
      <w:tr w:rsidR="009275DC" w:rsidRPr="00F63D00" w:rsidTr="009275DC">
        <w:tc>
          <w:tcPr>
            <w:tcW w:w="5000" w:type="pct"/>
            <w:gridSpan w:val="2"/>
            <w:shd w:val="clear" w:color="auto" w:fill="auto"/>
          </w:tcPr>
          <w:p w:rsidR="009275DC" w:rsidRPr="00F63D00" w:rsidRDefault="00077171" w:rsidP="00D01790">
            <w:pPr>
              <w:pStyle w:val="Outletsubjectnoline"/>
            </w:pPr>
            <w:r w:rsidRPr="00F63D00">
              <w:t xml:space="preserve">APPLICATION DESCRIPTION </w:t>
            </w:r>
          </w:p>
        </w:tc>
      </w:tr>
    </w:tbl>
    <w:p w:rsidR="00F939CA" w:rsidRPr="00F939CA" w:rsidRDefault="00077171" w:rsidP="00D01790">
      <w:pPr>
        <w:pStyle w:val="outletsubject"/>
        <w:numPr>
          <w:ilvl w:val="0"/>
          <w:numId w:val="23"/>
        </w:numPr>
      </w:pPr>
      <w:r w:rsidRPr="00F939CA">
        <w:t xml:space="preserve">Material Change of Use </w:t>
      </w:r>
      <w:r w:rsidRPr="00F939CA">
        <w:t>- Sho</w:t>
      </w:r>
      <w:r w:rsidRPr="00F939CA">
        <w:t>p (Retail Showroom), Retail Plant Nursery and Food Outlet</w:t>
      </w:r>
    </w:p>
    <w:p w:rsidR="00826340" w:rsidRDefault="00077171" w:rsidP="00D01790">
      <w:pPr>
        <w:pStyle w:val="ListNumber"/>
        <w:jc w:val="both"/>
      </w:pPr>
      <w:r>
        <w:t>Assessment Manager Contact</w:t>
      </w:r>
    </w:p>
    <w:p w:rsidR="00826340" w:rsidRDefault="00077171" w:rsidP="00D01790">
      <w:pPr>
        <w:pStyle w:val="StyleNormalIndentAfter10pt"/>
        <w:jc w:val="both"/>
        <w:rPr>
          <w:noProof/>
        </w:rPr>
      </w:pPr>
      <w:r>
        <w:rPr>
          <w:lang w:eastAsia="en-AU"/>
        </w:rPr>
        <w:t>T</w:t>
      </w:r>
      <w:r>
        <w:t xml:space="preserve">he Assessment Manager </w:t>
      </w:r>
      <w:r>
        <w:t>c</w:t>
      </w:r>
      <w:r>
        <w:t xml:space="preserve">ontact was </w:t>
      </w:r>
      <w:r>
        <w:rPr>
          <w:noProof/>
        </w:rPr>
        <w:t>John Gibson.</w:t>
      </w:r>
    </w:p>
    <w:p w:rsidR="003C1A41" w:rsidRPr="009275DC" w:rsidRDefault="00077171" w:rsidP="00D01790">
      <w:pPr>
        <w:pStyle w:val="StyleNormalIndentAfter10pt"/>
        <w:jc w:val="both"/>
      </w:pPr>
    </w:p>
    <w:p w:rsidR="00826340" w:rsidRDefault="00077171" w:rsidP="00D01790">
      <w:pPr>
        <w:pStyle w:val="ListNumber"/>
        <w:jc w:val="both"/>
      </w:pPr>
      <w:r>
        <w:t>DECISION DATE</w:t>
      </w:r>
    </w:p>
    <w:p w:rsidR="00F63D00" w:rsidRDefault="00077171" w:rsidP="00D01790">
      <w:pPr>
        <w:pStyle w:val="StyleNormalIndentAfter10pt"/>
        <w:jc w:val="both"/>
      </w:pPr>
      <w:r>
        <w:t>23 September 2015</w:t>
      </w:r>
      <w:r>
        <w:tab/>
      </w:r>
    </w:p>
    <w:p w:rsidR="003C1A41" w:rsidRDefault="00077171" w:rsidP="00D01790">
      <w:pPr>
        <w:pStyle w:val="StyleNormalIndentAfter10pt"/>
        <w:jc w:val="both"/>
      </w:pPr>
    </w:p>
    <w:p w:rsidR="00826340" w:rsidRDefault="00077171" w:rsidP="00D01790">
      <w:pPr>
        <w:pStyle w:val="ListNumber"/>
        <w:jc w:val="both"/>
      </w:pPr>
      <w:r>
        <w:t>DECISION</w:t>
      </w:r>
    </w:p>
    <w:p w:rsidR="00826340" w:rsidRDefault="00077171" w:rsidP="00D01790">
      <w:pPr>
        <w:pStyle w:val="StyleNormalIndentAfter10pt"/>
        <w:jc w:val="both"/>
      </w:pPr>
      <w:r w:rsidRPr="00875634">
        <w:t>The abovementioned development application was assessed and approved subject to</w:t>
      </w:r>
      <w:r w:rsidRPr="00875634">
        <w:t xml:space="preserve"> conditions.  The decision was made by Logan City Council as the Assessment Manager on the date listed in item 2 of this Decision Notice</w:t>
      </w:r>
      <w:r w:rsidRPr="00875634">
        <w:t>.</w:t>
      </w:r>
    </w:p>
    <w:p w:rsidR="00603E5C" w:rsidRPr="00875634" w:rsidRDefault="00077171" w:rsidP="00D01790">
      <w:pPr>
        <w:pStyle w:val="StyleNormalIndentAfter10pt"/>
        <w:jc w:val="both"/>
      </w:pPr>
    </w:p>
    <w:p w:rsidR="00826340" w:rsidRDefault="00077171" w:rsidP="00D01790">
      <w:pPr>
        <w:pStyle w:val="ListNumber"/>
        <w:jc w:val="both"/>
      </w:pPr>
      <w:r>
        <w:t>decision type</w:t>
      </w:r>
    </w:p>
    <w:p w:rsidR="00826340" w:rsidRDefault="00077171" w:rsidP="00D01790">
      <w:pPr>
        <w:pStyle w:val="StyleNormalIndentAfter10pt"/>
        <w:shd w:val="clear" w:color="auto" w:fill="FFFFFF"/>
        <w:jc w:val="both"/>
      </w:pPr>
      <w:r w:rsidRPr="00875634">
        <w:t xml:space="preserve">Development </w:t>
      </w:r>
      <w:r>
        <w:t>Permit</w:t>
      </w:r>
    </w:p>
    <w:p w:rsidR="000175A0" w:rsidRDefault="00077171" w:rsidP="00D01790">
      <w:pPr>
        <w:pStyle w:val="StyleNormalIndentAfter10pt"/>
        <w:shd w:val="clear" w:color="auto" w:fill="FFFFFF"/>
        <w:jc w:val="both"/>
      </w:pPr>
    </w:p>
    <w:p w:rsidR="00826340" w:rsidRDefault="00077171" w:rsidP="00D01790">
      <w:pPr>
        <w:pStyle w:val="ListNumber"/>
        <w:jc w:val="both"/>
      </w:pPr>
      <w:r>
        <w:t>referral agencies</w:t>
      </w:r>
    </w:p>
    <w:p w:rsidR="00826340" w:rsidRDefault="00077171" w:rsidP="00D01790">
      <w:pPr>
        <w:pStyle w:val="StyleNormalIndentAfter10pt"/>
        <w:jc w:val="both"/>
      </w:pPr>
    </w:p>
    <w:tbl>
      <w:tblPr>
        <w:tblStyle w:val="TableGrid"/>
        <w:tblW w:w="9286"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28"/>
        <w:gridCol w:w="2340"/>
        <w:gridCol w:w="3418"/>
      </w:tblGrid>
      <w:tr w:rsidR="005D224C" w:rsidRPr="005D224C" w:rsidTr="00EC40F0">
        <w:trPr>
          <w:trHeight w:val="284"/>
        </w:trPr>
        <w:tc>
          <w:tcPr>
            <w:tcW w:w="3528" w:type="dxa"/>
            <w:shd w:val="clear" w:color="auto" w:fill="auto"/>
          </w:tcPr>
          <w:p w:rsidR="005D224C" w:rsidRPr="005D224C" w:rsidRDefault="00077171" w:rsidP="005D224C">
            <w:pPr>
              <w:rPr>
                <w:b/>
              </w:rPr>
            </w:pPr>
            <w:r w:rsidRPr="005D224C">
              <w:rPr>
                <w:b/>
              </w:rPr>
              <w:t>Name of Agency</w:t>
            </w:r>
          </w:p>
        </w:tc>
        <w:tc>
          <w:tcPr>
            <w:tcW w:w="2340" w:type="dxa"/>
            <w:shd w:val="clear" w:color="auto" w:fill="auto"/>
          </w:tcPr>
          <w:p w:rsidR="005D224C" w:rsidRPr="005D224C" w:rsidRDefault="00077171" w:rsidP="005D224C">
            <w:pPr>
              <w:rPr>
                <w:b/>
              </w:rPr>
            </w:pPr>
            <w:r w:rsidRPr="005D224C">
              <w:rPr>
                <w:b/>
              </w:rPr>
              <w:t>Status</w:t>
            </w:r>
          </w:p>
        </w:tc>
        <w:tc>
          <w:tcPr>
            <w:tcW w:w="3418" w:type="dxa"/>
            <w:shd w:val="clear" w:color="auto" w:fill="auto"/>
          </w:tcPr>
          <w:p w:rsidR="005D224C" w:rsidRPr="005D224C" w:rsidRDefault="00077171" w:rsidP="005D224C">
            <w:pPr>
              <w:rPr>
                <w:b/>
              </w:rPr>
            </w:pPr>
            <w:r w:rsidRPr="005D224C">
              <w:rPr>
                <w:b/>
              </w:rPr>
              <w:t>Address</w:t>
            </w:r>
          </w:p>
        </w:tc>
      </w:tr>
      <w:tr w:rsidR="00B6670F" w:rsidTr="00EC40F0">
        <w:tc>
          <w:tcPr>
            <w:tcW w:w="3528" w:type="dxa"/>
            <w:shd w:val="clear" w:color="auto" w:fill="auto"/>
          </w:tcPr>
          <w:p w:rsidR="005D224C" w:rsidRPr="005D224C" w:rsidRDefault="00EC40F0" w:rsidP="00EC40F0">
            <w:r>
              <w:t>Department of Infrastructure, Local Government &amp; Planning</w:t>
            </w:r>
          </w:p>
        </w:tc>
        <w:tc>
          <w:tcPr>
            <w:tcW w:w="2340" w:type="dxa"/>
            <w:shd w:val="clear" w:color="auto" w:fill="auto"/>
          </w:tcPr>
          <w:p w:rsidR="005D224C" w:rsidRPr="005D224C" w:rsidRDefault="00077171" w:rsidP="005D224C">
            <w:r>
              <w:t>C</w:t>
            </w:r>
            <w:r>
              <w:t>oncurrence Agency</w:t>
            </w:r>
          </w:p>
        </w:tc>
        <w:tc>
          <w:tcPr>
            <w:tcW w:w="3418" w:type="dxa"/>
            <w:shd w:val="clear" w:color="auto" w:fill="auto"/>
          </w:tcPr>
          <w:p w:rsidR="005D224C" w:rsidRPr="005D224C" w:rsidRDefault="00077171" w:rsidP="005D224C">
            <w:r>
              <w:t>State Assessment and Referral Agency</w:t>
            </w:r>
          </w:p>
          <w:p w:rsidR="00B6670F" w:rsidRDefault="00077171" w:rsidP="005D224C">
            <w:r>
              <w:t>South East QLD - Gold Coast Region</w:t>
            </w:r>
            <w:r>
              <w:t>al Office</w:t>
            </w:r>
          </w:p>
          <w:p w:rsidR="00B6670F" w:rsidRDefault="00077171" w:rsidP="005D224C">
            <w:r>
              <w:t>PO Box 3290</w:t>
            </w:r>
          </w:p>
          <w:p w:rsidR="00B6670F" w:rsidRDefault="00077171" w:rsidP="005D224C">
            <w:r>
              <w:t>AUSTRALIA FAIR  QLD  4215</w:t>
            </w:r>
          </w:p>
        </w:tc>
      </w:tr>
    </w:tbl>
    <w:p w:rsidR="00EC17AF" w:rsidRDefault="00EC17AF" w:rsidP="005D224C"/>
    <w:p w:rsidR="00826340" w:rsidRDefault="00EC17AF" w:rsidP="00EC17AF">
      <w:pPr>
        <w:pStyle w:val="ListNumber"/>
        <w:jc w:val="both"/>
      </w:pPr>
      <w:r>
        <w:br w:type="page"/>
      </w:r>
      <w:proofErr w:type="gramStart"/>
      <w:r w:rsidR="00077171">
        <w:lastRenderedPageBreak/>
        <w:t>conditions</w:t>
      </w:r>
      <w:proofErr w:type="gramEnd"/>
      <w:r w:rsidR="00077171">
        <w:t xml:space="preserve"> of approval - assessment manager</w:t>
      </w:r>
    </w:p>
    <w:p w:rsidR="00826340" w:rsidRDefault="00077171" w:rsidP="00D01790">
      <w:pPr>
        <w:pStyle w:val="StyleNormalIndentAfter10pt"/>
        <w:jc w:val="both"/>
      </w:pPr>
      <w:r w:rsidRPr="00875634">
        <w:t>T</w:t>
      </w:r>
      <w:r w:rsidRPr="00875634">
        <w:t>he Assessment Manager conditions are attached to this Decision Notice.</w:t>
      </w:r>
    </w:p>
    <w:p w:rsidR="00603E5C" w:rsidRPr="00754FEE" w:rsidRDefault="00077171" w:rsidP="00D01790">
      <w:pPr>
        <w:pStyle w:val="StyleNormalIndentAfter10pt"/>
        <w:jc w:val="both"/>
      </w:pPr>
    </w:p>
    <w:p w:rsidR="00826340" w:rsidRDefault="00077171" w:rsidP="00D01790">
      <w:pPr>
        <w:pStyle w:val="ListNumber"/>
        <w:jc w:val="both"/>
      </w:pPr>
      <w:r>
        <w:t>conditions of approval - concurrence/advice agency</w:t>
      </w:r>
    </w:p>
    <w:p w:rsidR="00826340" w:rsidRDefault="00077171" w:rsidP="00D01790">
      <w:pPr>
        <w:pStyle w:val="StyleNormalIndentAfter10pt"/>
        <w:jc w:val="both"/>
      </w:pPr>
      <w:r w:rsidRPr="00754FEE">
        <w:t xml:space="preserve">The Concurrence Agency </w:t>
      </w:r>
      <w:r>
        <w:t>comments</w:t>
      </w:r>
      <w:r w:rsidRPr="00754FEE">
        <w:t xml:space="preserve"> are </w:t>
      </w:r>
      <w:r w:rsidRPr="00754FEE">
        <w:t>attached to this Decision Notice.</w:t>
      </w:r>
    </w:p>
    <w:p w:rsidR="00603E5C" w:rsidRPr="00754FEE" w:rsidRDefault="00077171" w:rsidP="00D01790">
      <w:pPr>
        <w:pStyle w:val="StyleNormalIndentAfter10pt"/>
        <w:jc w:val="both"/>
      </w:pPr>
    </w:p>
    <w:p w:rsidR="00826340" w:rsidRPr="00876C77" w:rsidRDefault="00077171" w:rsidP="00D01790">
      <w:pPr>
        <w:pStyle w:val="ListNumber"/>
        <w:jc w:val="both"/>
      </w:pPr>
      <w:r w:rsidRPr="00876C77">
        <w:t xml:space="preserve">any approved variations to the planning scheme that were given in a preliminary approval under Section 242 of the </w:t>
      </w:r>
      <w:r w:rsidRPr="00876C77">
        <w:t>Sustainable Planning Ac</w:t>
      </w:r>
      <w:r w:rsidRPr="00876C77">
        <w:t>t 2009</w:t>
      </w:r>
    </w:p>
    <w:p w:rsidR="00826340" w:rsidRDefault="00077171" w:rsidP="00D01790">
      <w:pPr>
        <w:pStyle w:val="StyleNormalIndentAfter10pt"/>
        <w:jc w:val="both"/>
        <w:rPr>
          <w:highlight w:val="yellow"/>
        </w:rPr>
      </w:pPr>
      <w:r w:rsidRPr="00754FEE">
        <w:t>There are no variations applicable to this Decision Notice</w:t>
      </w:r>
      <w:r w:rsidRPr="00754FEE">
        <w:rPr>
          <w:highlight w:val="yellow"/>
        </w:rPr>
        <w:t xml:space="preserve"> </w:t>
      </w:r>
    </w:p>
    <w:p w:rsidR="00603E5C" w:rsidRPr="00754FEE" w:rsidRDefault="00077171" w:rsidP="00D01790">
      <w:pPr>
        <w:pStyle w:val="StyleNormalIndentAfter10pt"/>
        <w:jc w:val="both"/>
        <w:rPr>
          <w:highlight w:val="yellow"/>
        </w:rPr>
      </w:pPr>
    </w:p>
    <w:p w:rsidR="00826340" w:rsidRDefault="00077171" w:rsidP="00D01790">
      <w:pPr>
        <w:pStyle w:val="ListNumber"/>
        <w:jc w:val="both"/>
      </w:pPr>
      <w:r>
        <w:t xml:space="preserve">other development </w:t>
      </w:r>
      <w:r>
        <w:t>permits</w:t>
      </w:r>
      <w:r>
        <w:t xml:space="preserve"> necessary to allow the development to be carried out</w:t>
      </w:r>
    </w:p>
    <w:tbl>
      <w:tblPr>
        <w:tblW w:w="4604" w:type="pct"/>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69"/>
      </w:tblGrid>
      <w:tr w:rsidR="00826340" w:rsidRPr="00EC40F0" w:rsidTr="00124E86">
        <w:tc>
          <w:tcPr>
            <w:tcW w:w="5000" w:type="pct"/>
            <w:tcBorders>
              <w:top w:val="nil"/>
              <w:left w:val="nil"/>
              <w:bottom w:val="nil"/>
              <w:right w:val="nil"/>
            </w:tcBorders>
            <w:shd w:val="clear" w:color="auto" w:fill="auto"/>
          </w:tcPr>
          <w:p w:rsidR="00826340" w:rsidRPr="00EC40F0" w:rsidRDefault="00077171" w:rsidP="00EC40F0">
            <w:pPr>
              <w:numPr>
                <w:ilvl w:val="0"/>
                <w:numId w:val="27"/>
              </w:numPr>
              <w:jc w:val="both"/>
            </w:pPr>
            <w:r w:rsidRPr="00EC40F0">
              <w:t>O</w:t>
            </w:r>
            <w:r w:rsidRPr="00EC40F0">
              <w:t>perational Works</w:t>
            </w:r>
            <w:r w:rsidR="00EC40F0">
              <w:t xml:space="preserve"> – Civil/Electrical/Earthworks/Water &amp; Sewer Design</w:t>
            </w:r>
          </w:p>
        </w:tc>
      </w:tr>
      <w:tr w:rsidR="00826340" w:rsidRPr="00EC40F0" w:rsidTr="00124E86">
        <w:tc>
          <w:tcPr>
            <w:tcW w:w="5000" w:type="pct"/>
            <w:tcBorders>
              <w:top w:val="nil"/>
              <w:left w:val="nil"/>
              <w:bottom w:val="nil"/>
              <w:right w:val="nil"/>
            </w:tcBorders>
            <w:shd w:val="clear" w:color="auto" w:fill="auto"/>
          </w:tcPr>
          <w:p w:rsidR="00826340" w:rsidRPr="00EC40F0" w:rsidRDefault="00077171" w:rsidP="00EC40F0">
            <w:pPr>
              <w:numPr>
                <w:ilvl w:val="0"/>
                <w:numId w:val="27"/>
              </w:numPr>
              <w:jc w:val="both"/>
            </w:pPr>
            <w:r w:rsidRPr="00EC40F0">
              <w:t>B</w:t>
            </w:r>
            <w:r w:rsidRPr="00EC40F0">
              <w:t>uilding Works</w:t>
            </w:r>
          </w:p>
        </w:tc>
      </w:tr>
      <w:tr w:rsidR="00826340" w:rsidRPr="00754FEE" w:rsidTr="00124E86">
        <w:tc>
          <w:tcPr>
            <w:tcW w:w="5000" w:type="pct"/>
            <w:tcBorders>
              <w:top w:val="nil"/>
              <w:left w:val="nil"/>
              <w:bottom w:val="nil"/>
              <w:right w:val="nil"/>
            </w:tcBorders>
            <w:shd w:val="clear" w:color="auto" w:fill="auto"/>
          </w:tcPr>
          <w:p w:rsidR="00826340" w:rsidRPr="00754FEE" w:rsidRDefault="00077171" w:rsidP="00EC40F0">
            <w:pPr>
              <w:numPr>
                <w:ilvl w:val="0"/>
                <w:numId w:val="27"/>
              </w:numPr>
              <w:jc w:val="both"/>
            </w:pPr>
            <w:r w:rsidRPr="00EC40F0">
              <w:t>Plumbing and Drainage Works</w:t>
            </w:r>
          </w:p>
        </w:tc>
      </w:tr>
    </w:tbl>
    <w:p w:rsidR="009275DC" w:rsidRPr="00896D1E" w:rsidRDefault="00077171" w:rsidP="00D01790">
      <w:pPr>
        <w:jc w:val="both"/>
      </w:pPr>
    </w:p>
    <w:p w:rsidR="00826340" w:rsidRDefault="00077171" w:rsidP="00D01790">
      <w:pPr>
        <w:pStyle w:val="ListNumber"/>
        <w:jc w:val="both"/>
      </w:pPr>
      <w:r>
        <w:t xml:space="preserve">any code the applicant may need to </w:t>
      </w:r>
      <w:r>
        <w:t xml:space="preserve">comply with for self-assessable </w:t>
      </w:r>
      <w:r>
        <w:t>development related to the development approved</w:t>
      </w:r>
    </w:p>
    <w:p w:rsidR="00826340" w:rsidRDefault="00077171" w:rsidP="00D01790">
      <w:pPr>
        <w:pStyle w:val="StyleNormalIndentAfter10pt"/>
        <w:jc w:val="both"/>
      </w:pPr>
      <w:r>
        <w:t>Comply with the provision of Council's Local Laws, Planning Scheme Policies, Planning Scheme and</w:t>
      </w:r>
      <w:r>
        <w:t xml:space="preserve"> Planning Scheme Codes to the extent they have not been varied by this approval.</w:t>
      </w:r>
      <w:r>
        <w:rPr>
          <w:highlight w:val="yellow"/>
        </w:rPr>
        <w:t xml:space="preserve"> </w:t>
      </w:r>
    </w:p>
    <w:p w:rsidR="00603E5C" w:rsidRDefault="00077171" w:rsidP="00D01790">
      <w:pPr>
        <w:pStyle w:val="StyleNormalIndentAfter10pt"/>
        <w:jc w:val="both"/>
      </w:pPr>
    </w:p>
    <w:p w:rsidR="00826340" w:rsidRDefault="00077171" w:rsidP="00D01790">
      <w:pPr>
        <w:pStyle w:val="ListNumber"/>
        <w:jc w:val="both"/>
      </w:pPr>
      <w:r>
        <w:t>Details of compliance assessment required for documents or works</w:t>
      </w:r>
    </w:p>
    <w:p w:rsidR="00EC40F0" w:rsidRPr="00EC40F0" w:rsidRDefault="00EC40F0" w:rsidP="00EC40F0">
      <w:pPr>
        <w:pStyle w:val="ListNumber2"/>
        <w:numPr>
          <w:ilvl w:val="0"/>
          <w:numId w:val="0"/>
        </w:numPr>
        <w:ind w:left="1418" w:hanging="851"/>
      </w:pPr>
    </w:p>
    <w:tbl>
      <w:tblPr>
        <w:tblW w:w="4743"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5"/>
        <w:gridCol w:w="2435"/>
        <w:gridCol w:w="1935"/>
        <w:gridCol w:w="2434"/>
      </w:tblGrid>
      <w:tr w:rsidR="00EC40F0" w:rsidRPr="00EC40F0" w:rsidTr="00EC40F0">
        <w:tc>
          <w:tcPr>
            <w:tcW w:w="1318" w:type="pct"/>
            <w:tcBorders>
              <w:top w:val="single" w:sz="4" w:space="0" w:color="auto"/>
              <w:left w:val="single" w:sz="4" w:space="0" w:color="auto"/>
              <w:bottom w:val="single" w:sz="4" w:space="0" w:color="auto"/>
              <w:right w:val="single" w:sz="4" w:space="0" w:color="auto"/>
            </w:tcBorders>
            <w:vAlign w:val="center"/>
          </w:tcPr>
          <w:p w:rsidR="00EC40F0" w:rsidRPr="00EC40F0" w:rsidRDefault="00EC40F0" w:rsidP="00EC40F0">
            <w:pPr>
              <w:pStyle w:val="StyleNormalIndentAfter10pt"/>
              <w:ind w:left="34"/>
              <w:rPr>
                <w:b/>
              </w:rPr>
            </w:pPr>
            <w:r w:rsidRPr="00EC40F0">
              <w:rPr>
                <w:b/>
              </w:rPr>
              <w:t>Documents or works</w:t>
            </w:r>
            <w:r w:rsidRPr="00EC40F0">
              <w:rPr>
                <w:b/>
              </w:rPr>
              <w:br/>
              <w:t>requiring compliance assessment</w:t>
            </w:r>
          </w:p>
        </w:tc>
        <w:tc>
          <w:tcPr>
            <w:tcW w:w="1318" w:type="pct"/>
            <w:tcBorders>
              <w:top w:val="single" w:sz="4" w:space="0" w:color="auto"/>
              <w:left w:val="single" w:sz="4" w:space="0" w:color="auto"/>
              <w:bottom w:val="single" w:sz="4" w:space="0" w:color="auto"/>
              <w:right w:val="single" w:sz="4" w:space="0" w:color="auto"/>
            </w:tcBorders>
            <w:vAlign w:val="center"/>
          </w:tcPr>
          <w:p w:rsidR="00EC40F0" w:rsidRPr="00EC40F0" w:rsidRDefault="00EC40F0" w:rsidP="00EC40F0">
            <w:pPr>
              <w:pStyle w:val="StyleNormalIndentAfter10pt"/>
              <w:ind w:left="34"/>
              <w:rPr>
                <w:b/>
              </w:rPr>
            </w:pPr>
            <w:r w:rsidRPr="00EC40F0">
              <w:rPr>
                <w:b/>
              </w:rPr>
              <w:t>Matters or things against which the document or work must be assessed</w:t>
            </w:r>
          </w:p>
        </w:tc>
        <w:tc>
          <w:tcPr>
            <w:tcW w:w="1047" w:type="pct"/>
            <w:tcBorders>
              <w:top w:val="single" w:sz="4" w:space="0" w:color="auto"/>
              <w:left w:val="single" w:sz="4" w:space="0" w:color="auto"/>
              <w:bottom w:val="single" w:sz="4" w:space="0" w:color="auto"/>
              <w:right w:val="single" w:sz="4" w:space="0" w:color="auto"/>
            </w:tcBorders>
            <w:vAlign w:val="center"/>
          </w:tcPr>
          <w:p w:rsidR="00EC40F0" w:rsidRPr="00EC40F0" w:rsidRDefault="00EC40F0" w:rsidP="00EC40F0">
            <w:pPr>
              <w:pStyle w:val="StyleNormalIndentAfter10pt"/>
              <w:ind w:left="34"/>
              <w:rPr>
                <w:b/>
              </w:rPr>
            </w:pPr>
            <w:r w:rsidRPr="00EC40F0">
              <w:rPr>
                <w:b/>
              </w:rPr>
              <w:t>Compliance assessor</w:t>
            </w:r>
          </w:p>
        </w:tc>
        <w:tc>
          <w:tcPr>
            <w:tcW w:w="1318" w:type="pct"/>
            <w:tcBorders>
              <w:top w:val="single" w:sz="4" w:space="0" w:color="auto"/>
              <w:left w:val="single" w:sz="4" w:space="0" w:color="auto"/>
              <w:bottom w:val="single" w:sz="4" w:space="0" w:color="auto"/>
              <w:right w:val="single" w:sz="4" w:space="0" w:color="auto"/>
            </w:tcBorders>
            <w:vAlign w:val="center"/>
          </w:tcPr>
          <w:p w:rsidR="00EC40F0" w:rsidRPr="00EC40F0" w:rsidRDefault="00EC40F0" w:rsidP="00EC40F0">
            <w:pPr>
              <w:pStyle w:val="StyleNormalIndentAfter10pt"/>
              <w:ind w:left="34"/>
              <w:rPr>
                <w:b/>
              </w:rPr>
            </w:pPr>
            <w:r w:rsidRPr="00EC40F0">
              <w:rPr>
                <w:b/>
              </w:rPr>
              <w:t>When the request for compliance assessment must be made</w:t>
            </w:r>
          </w:p>
        </w:tc>
      </w:tr>
      <w:tr w:rsidR="00EC40F0" w:rsidRPr="00EC40F0" w:rsidTr="00EC40F0">
        <w:tc>
          <w:tcPr>
            <w:tcW w:w="1318" w:type="pct"/>
            <w:tcBorders>
              <w:top w:val="single" w:sz="4" w:space="0" w:color="auto"/>
              <w:left w:val="single" w:sz="4" w:space="0" w:color="auto"/>
              <w:bottom w:val="single" w:sz="4" w:space="0" w:color="auto"/>
              <w:right w:val="single" w:sz="4" w:space="0" w:color="auto"/>
            </w:tcBorders>
            <w:vAlign w:val="center"/>
          </w:tcPr>
          <w:p w:rsidR="00EC40F0" w:rsidRPr="00EC40F0" w:rsidRDefault="00EC40F0" w:rsidP="00EC40F0">
            <w:pPr>
              <w:pStyle w:val="StyleNormalIndentAfter10pt"/>
              <w:ind w:left="34"/>
            </w:pPr>
            <w:r w:rsidRPr="00EC40F0">
              <w:t>Landscape Plan - Documents</w:t>
            </w:r>
          </w:p>
        </w:tc>
        <w:tc>
          <w:tcPr>
            <w:tcW w:w="1318" w:type="pct"/>
            <w:tcBorders>
              <w:top w:val="single" w:sz="4" w:space="0" w:color="auto"/>
              <w:left w:val="single" w:sz="4" w:space="0" w:color="auto"/>
              <w:bottom w:val="single" w:sz="4" w:space="0" w:color="auto"/>
              <w:right w:val="single" w:sz="4" w:space="0" w:color="auto"/>
            </w:tcBorders>
            <w:vAlign w:val="center"/>
          </w:tcPr>
          <w:p w:rsidR="00EC40F0" w:rsidRPr="00EC40F0" w:rsidRDefault="00EC40F0" w:rsidP="00EC40F0">
            <w:pPr>
              <w:pStyle w:val="StyleNormalIndentAfter10pt"/>
              <w:ind w:left="34"/>
            </w:pPr>
            <w:r w:rsidRPr="00EC40F0">
              <w:t>Development Conditions and any other relevant approval.</w:t>
            </w:r>
          </w:p>
          <w:p w:rsidR="00EC40F0" w:rsidRPr="00EC40F0" w:rsidRDefault="00EC40F0" w:rsidP="00EC40F0">
            <w:pPr>
              <w:pStyle w:val="StyleNormalIndentAfter10pt"/>
              <w:ind w:left="34"/>
            </w:pPr>
            <w:r w:rsidRPr="00EC40F0">
              <w:t>Landscape Development Manual</w:t>
            </w:r>
          </w:p>
          <w:p w:rsidR="00EC40F0" w:rsidRPr="00EC40F0" w:rsidRDefault="00EC40F0" w:rsidP="00EC40F0">
            <w:pPr>
              <w:pStyle w:val="StyleNormalIndentAfter10pt"/>
              <w:ind w:left="34"/>
            </w:pPr>
            <w:r w:rsidRPr="00EC40F0">
              <w:t>Logan Planning Scheme 2006</w:t>
            </w:r>
          </w:p>
        </w:tc>
        <w:tc>
          <w:tcPr>
            <w:tcW w:w="1047" w:type="pct"/>
            <w:tcBorders>
              <w:top w:val="single" w:sz="4" w:space="0" w:color="auto"/>
              <w:left w:val="single" w:sz="4" w:space="0" w:color="auto"/>
              <w:bottom w:val="single" w:sz="4" w:space="0" w:color="auto"/>
              <w:right w:val="single" w:sz="4" w:space="0" w:color="auto"/>
            </w:tcBorders>
            <w:vAlign w:val="center"/>
          </w:tcPr>
          <w:p w:rsidR="00EC40F0" w:rsidRPr="00EC40F0" w:rsidRDefault="00EC40F0" w:rsidP="00EC40F0">
            <w:pPr>
              <w:pStyle w:val="StyleNormalIndentAfter10pt"/>
              <w:ind w:left="34"/>
            </w:pPr>
            <w:r w:rsidRPr="00EC40F0">
              <w:t>Logan City Council</w:t>
            </w:r>
          </w:p>
        </w:tc>
        <w:tc>
          <w:tcPr>
            <w:tcW w:w="1318" w:type="pct"/>
            <w:tcBorders>
              <w:top w:val="single" w:sz="4" w:space="0" w:color="auto"/>
              <w:left w:val="single" w:sz="4" w:space="0" w:color="auto"/>
              <w:bottom w:val="single" w:sz="4" w:space="0" w:color="auto"/>
              <w:right w:val="single" w:sz="4" w:space="0" w:color="auto"/>
            </w:tcBorders>
            <w:vAlign w:val="center"/>
          </w:tcPr>
          <w:p w:rsidR="00EC40F0" w:rsidRPr="00EC40F0" w:rsidRDefault="00EC40F0" w:rsidP="00EC40F0">
            <w:pPr>
              <w:pStyle w:val="StyleNormalIndentAfter10pt"/>
              <w:ind w:left="34"/>
            </w:pPr>
            <w:r w:rsidRPr="00EC40F0">
              <w:t>To be complied with prior to commencement of building works on site.</w:t>
            </w:r>
          </w:p>
        </w:tc>
      </w:tr>
      <w:tr w:rsidR="00EC40F0" w:rsidRPr="00EC40F0" w:rsidTr="00EC40F0">
        <w:tc>
          <w:tcPr>
            <w:tcW w:w="1318" w:type="pct"/>
            <w:tcBorders>
              <w:top w:val="single" w:sz="4" w:space="0" w:color="auto"/>
              <w:left w:val="single" w:sz="4" w:space="0" w:color="auto"/>
              <w:bottom w:val="single" w:sz="4" w:space="0" w:color="auto"/>
              <w:right w:val="single" w:sz="4" w:space="0" w:color="auto"/>
            </w:tcBorders>
            <w:vAlign w:val="center"/>
          </w:tcPr>
          <w:p w:rsidR="00EC40F0" w:rsidRPr="00EC40F0" w:rsidRDefault="00EC40F0" w:rsidP="00EC40F0">
            <w:pPr>
              <w:pStyle w:val="StyleNormalIndentAfter10pt"/>
              <w:ind w:left="34"/>
            </w:pPr>
            <w:r w:rsidRPr="00EC40F0">
              <w:t>Landscape Plan - Works</w:t>
            </w:r>
          </w:p>
        </w:tc>
        <w:tc>
          <w:tcPr>
            <w:tcW w:w="1318" w:type="pct"/>
            <w:tcBorders>
              <w:top w:val="single" w:sz="4" w:space="0" w:color="auto"/>
              <w:left w:val="single" w:sz="4" w:space="0" w:color="auto"/>
              <w:bottom w:val="single" w:sz="4" w:space="0" w:color="auto"/>
              <w:right w:val="single" w:sz="4" w:space="0" w:color="auto"/>
            </w:tcBorders>
            <w:vAlign w:val="center"/>
          </w:tcPr>
          <w:p w:rsidR="00EC40F0" w:rsidRPr="00EC40F0" w:rsidRDefault="00EC40F0" w:rsidP="00EC40F0">
            <w:pPr>
              <w:pStyle w:val="StyleNormalIndentAfter10pt"/>
              <w:ind w:left="34"/>
            </w:pPr>
            <w:r w:rsidRPr="00EC40F0">
              <w:t>Development Conditions and any other relevant approval or if not done have been bonded to ensure their compliance</w:t>
            </w:r>
          </w:p>
        </w:tc>
        <w:tc>
          <w:tcPr>
            <w:tcW w:w="1047" w:type="pct"/>
            <w:tcBorders>
              <w:top w:val="single" w:sz="4" w:space="0" w:color="auto"/>
              <w:left w:val="single" w:sz="4" w:space="0" w:color="auto"/>
              <w:bottom w:val="single" w:sz="4" w:space="0" w:color="auto"/>
              <w:right w:val="single" w:sz="4" w:space="0" w:color="auto"/>
            </w:tcBorders>
            <w:vAlign w:val="center"/>
          </w:tcPr>
          <w:p w:rsidR="00EC40F0" w:rsidRPr="00EC40F0" w:rsidRDefault="00EC40F0" w:rsidP="00EC40F0">
            <w:pPr>
              <w:pStyle w:val="StyleNormalIndentAfter10pt"/>
              <w:ind w:left="34"/>
            </w:pPr>
            <w:r w:rsidRPr="00EC40F0">
              <w:t>Logan City Council</w:t>
            </w:r>
          </w:p>
        </w:tc>
        <w:tc>
          <w:tcPr>
            <w:tcW w:w="1318" w:type="pct"/>
            <w:tcBorders>
              <w:top w:val="single" w:sz="4" w:space="0" w:color="auto"/>
              <w:left w:val="single" w:sz="4" w:space="0" w:color="auto"/>
              <w:bottom w:val="single" w:sz="4" w:space="0" w:color="auto"/>
              <w:right w:val="single" w:sz="4" w:space="0" w:color="auto"/>
            </w:tcBorders>
            <w:vAlign w:val="center"/>
          </w:tcPr>
          <w:p w:rsidR="00EC40F0" w:rsidRPr="00EC40F0" w:rsidRDefault="00EC40F0" w:rsidP="00EC40F0">
            <w:pPr>
              <w:pStyle w:val="StyleNormalIndentAfter10pt"/>
              <w:ind w:left="34"/>
            </w:pPr>
            <w:r w:rsidRPr="00EC40F0">
              <w:t>Prior to the commencement of use of the development.</w:t>
            </w:r>
          </w:p>
        </w:tc>
      </w:tr>
    </w:tbl>
    <w:p w:rsidR="00603E5C" w:rsidRPr="00B70EAE" w:rsidRDefault="00077171" w:rsidP="00D01790">
      <w:pPr>
        <w:pStyle w:val="StyleNormalIndentAfter10pt"/>
        <w:jc w:val="both"/>
      </w:pPr>
    </w:p>
    <w:p w:rsidR="00826340" w:rsidRDefault="00077171" w:rsidP="00D01790">
      <w:pPr>
        <w:pStyle w:val="ListNumber"/>
        <w:jc w:val="both"/>
      </w:pPr>
      <w:r>
        <w:t>properly made submissions</w:t>
      </w:r>
    </w:p>
    <w:tbl>
      <w:tblPr>
        <w:tblStyle w:val="TableGrid"/>
        <w:tblW w:w="9286" w:type="dxa"/>
        <w:tblInd w:w="534" w:type="dxa"/>
        <w:tblBorders>
          <w:top w:val="single" w:sz="4" w:space="0" w:color="FFFFFF"/>
          <w:left w:val="single" w:sz="4" w:space="0" w:color="FFFFFF"/>
          <w:bottom w:val="single" w:sz="4" w:space="0" w:color="FFFFFF"/>
          <w:right w:val="single" w:sz="4" w:space="0" w:color="FFFFFF"/>
          <w:insideH w:val="none" w:sz="0" w:space="0" w:color="auto"/>
          <w:insideV w:val="none" w:sz="0" w:space="0" w:color="auto"/>
        </w:tblBorders>
        <w:tblLook w:val="01E0" w:firstRow="1" w:lastRow="1" w:firstColumn="1" w:lastColumn="1" w:noHBand="0" w:noVBand="0"/>
      </w:tblPr>
      <w:tblGrid>
        <w:gridCol w:w="9286"/>
      </w:tblGrid>
      <w:tr w:rsidR="000A26F8" w:rsidTr="00EC40F0">
        <w:tc>
          <w:tcPr>
            <w:tcW w:w="9286" w:type="dxa"/>
            <w:tcBorders>
              <w:top w:val="nil"/>
              <w:left w:val="nil"/>
              <w:bottom w:val="nil"/>
              <w:right w:val="nil"/>
            </w:tcBorders>
          </w:tcPr>
          <w:p w:rsidR="00EC40F0" w:rsidRDefault="00EC40F0" w:rsidP="00303E9C">
            <w:pPr>
              <w:pStyle w:val="Submitters"/>
              <w:spacing w:after="60"/>
              <w:ind w:left="357" w:hanging="357"/>
            </w:pPr>
          </w:p>
          <w:p w:rsidR="000A26F8" w:rsidRDefault="00077171" w:rsidP="00303E9C">
            <w:pPr>
              <w:pStyle w:val="Submitters"/>
              <w:spacing w:after="60"/>
              <w:ind w:left="357" w:hanging="357"/>
            </w:pPr>
            <w:r>
              <w:t>BUNNINGS GROUP LIMITED</w:t>
            </w:r>
            <w:r>
              <w:t xml:space="preserve"> - </w:t>
            </w:r>
            <w:r>
              <w:t>C/- RPS, PO Box 1559, FORTITUDE VALLEY  QLD  4006</w:t>
            </w:r>
          </w:p>
        </w:tc>
      </w:tr>
      <w:tr w:rsidR="000A26F8" w:rsidTr="00EC40F0">
        <w:tc>
          <w:tcPr>
            <w:tcW w:w="9286" w:type="dxa"/>
            <w:tcBorders>
              <w:top w:val="nil"/>
              <w:left w:val="nil"/>
              <w:bottom w:val="nil"/>
              <w:right w:val="nil"/>
            </w:tcBorders>
          </w:tcPr>
          <w:p w:rsidR="000A26F8" w:rsidRDefault="00077171" w:rsidP="00303E9C">
            <w:pPr>
              <w:pStyle w:val="Submitters"/>
              <w:spacing w:after="60"/>
              <w:ind w:left="357" w:hanging="357"/>
            </w:pPr>
            <w:r>
              <w:t>Hsien Jung Yang</w:t>
            </w:r>
            <w:r>
              <w:t xml:space="preserve"> - </w:t>
            </w:r>
            <w:r>
              <w:t xml:space="preserve">14 </w:t>
            </w:r>
            <w:proofErr w:type="spellStart"/>
            <w:r>
              <w:t>Tetratheca</w:t>
            </w:r>
            <w:proofErr w:type="spellEnd"/>
            <w:r>
              <w:t xml:space="preserve"> Pl, SUNNYBAN</w:t>
            </w:r>
            <w:r>
              <w:t>K HILLS  QLD  4109</w:t>
            </w:r>
          </w:p>
        </w:tc>
      </w:tr>
    </w:tbl>
    <w:p w:rsidR="00381EAE" w:rsidRPr="00640192" w:rsidRDefault="00077171" w:rsidP="0020010F">
      <w:pPr>
        <w:rPr>
          <w:vanish/>
        </w:rPr>
      </w:pPr>
    </w:p>
    <w:p w:rsidR="00826340" w:rsidRDefault="00EC17AF" w:rsidP="00D01790">
      <w:pPr>
        <w:pStyle w:val="ListNumber"/>
        <w:jc w:val="both"/>
      </w:pPr>
      <w:r>
        <w:br w:type="page"/>
      </w:r>
      <w:r w:rsidR="00077171">
        <w:lastRenderedPageBreak/>
        <w:t>conflict with planning laws and policies</w:t>
      </w:r>
    </w:p>
    <w:p w:rsidR="00826340" w:rsidRPr="00B70EAE" w:rsidRDefault="00077171" w:rsidP="00D01790">
      <w:pPr>
        <w:pStyle w:val="StyleNormalIndentAfter10pt"/>
        <w:jc w:val="both"/>
      </w:pPr>
      <w:r w:rsidRPr="00B70EAE">
        <w:t xml:space="preserve">In accordance with Section 326 of the </w:t>
      </w:r>
      <w:r w:rsidRPr="00A934E4">
        <w:rPr>
          <w:i/>
        </w:rPr>
        <w:t>Sustainable Planning Act 2009</w:t>
      </w:r>
      <w:r w:rsidRPr="00B70EAE">
        <w:t xml:space="preserve"> the decision is in conflict with;</w:t>
      </w:r>
    </w:p>
    <w:p w:rsidR="00EC40F0" w:rsidRPr="00333582" w:rsidRDefault="00EC40F0" w:rsidP="00EC40F0">
      <w:pPr>
        <w:numPr>
          <w:ilvl w:val="0"/>
          <w:numId w:val="28"/>
        </w:numPr>
        <w:spacing w:before="120"/>
        <w:ind w:left="709" w:hanging="425"/>
        <w:jc w:val="both"/>
        <w:rPr>
          <w:rFonts w:cs="Arial"/>
        </w:rPr>
      </w:pPr>
      <w:r w:rsidRPr="00333582">
        <w:rPr>
          <w:rFonts w:cs="Arial"/>
        </w:rPr>
        <w:t xml:space="preserve">Centres Locality and Zones Code – </w:t>
      </w:r>
    </w:p>
    <w:p w:rsidR="00EC40F0" w:rsidRPr="00333582" w:rsidRDefault="00EC40F0" w:rsidP="00EC40F0">
      <w:pPr>
        <w:numPr>
          <w:ilvl w:val="0"/>
          <w:numId w:val="29"/>
        </w:numPr>
        <w:spacing w:before="120"/>
        <w:jc w:val="both"/>
        <w:rPr>
          <w:rFonts w:cs="Arial"/>
        </w:rPr>
      </w:pPr>
      <w:r w:rsidRPr="00333582">
        <w:rPr>
          <w:rFonts w:cs="Arial"/>
        </w:rPr>
        <w:t>Specific Outcomes:</w:t>
      </w:r>
    </w:p>
    <w:p w:rsidR="00EC40F0" w:rsidRPr="00333582" w:rsidRDefault="00EC40F0" w:rsidP="00EC40F0">
      <w:pPr>
        <w:numPr>
          <w:ilvl w:val="1"/>
          <w:numId w:val="29"/>
        </w:numPr>
        <w:spacing w:before="120"/>
        <w:jc w:val="both"/>
        <w:rPr>
          <w:rFonts w:cs="Arial"/>
        </w:rPr>
      </w:pPr>
      <w:r w:rsidRPr="00333582">
        <w:rPr>
          <w:rFonts w:cs="Arial"/>
          <w:bCs/>
        </w:rPr>
        <w:t>O11 – Protection and Enhancement of Character Areas;</w:t>
      </w:r>
    </w:p>
    <w:p w:rsidR="00EC40F0" w:rsidRPr="00333582" w:rsidRDefault="00EC40F0" w:rsidP="00EC40F0">
      <w:pPr>
        <w:numPr>
          <w:ilvl w:val="1"/>
          <w:numId w:val="29"/>
        </w:numPr>
        <w:spacing w:before="120"/>
        <w:jc w:val="both"/>
        <w:rPr>
          <w:rFonts w:cs="Arial"/>
        </w:rPr>
      </w:pPr>
      <w:r w:rsidRPr="00333582">
        <w:rPr>
          <w:rFonts w:cs="Arial"/>
        </w:rPr>
        <w:t>O23, O26 and O27 – Protection of the Retail Centre Hierarchy;</w:t>
      </w:r>
    </w:p>
    <w:p w:rsidR="00EC40F0" w:rsidRPr="00333582" w:rsidRDefault="00EC40F0" w:rsidP="00EC40F0">
      <w:pPr>
        <w:numPr>
          <w:ilvl w:val="1"/>
          <w:numId w:val="29"/>
        </w:numPr>
        <w:spacing w:before="120"/>
        <w:jc w:val="both"/>
        <w:rPr>
          <w:rFonts w:cs="Arial"/>
        </w:rPr>
      </w:pPr>
      <w:r w:rsidRPr="00333582">
        <w:rPr>
          <w:rFonts w:cs="Arial"/>
          <w:bCs/>
        </w:rPr>
        <w:t>O30 – Consolidation of Development;</w:t>
      </w:r>
    </w:p>
    <w:p w:rsidR="00EC40F0" w:rsidRPr="00BD42C8" w:rsidRDefault="00EC40F0" w:rsidP="00EC40F0">
      <w:pPr>
        <w:numPr>
          <w:ilvl w:val="0"/>
          <w:numId w:val="29"/>
        </w:numPr>
        <w:spacing w:before="120"/>
        <w:jc w:val="both"/>
        <w:rPr>
          <w:rFonts w:cs="Arial"/>
        </w:rPr>
      </w:pPr>
      <w:r w:rsidRPr="00BD42C8">
        <w:rPr>
          <w:rFonts w:cs="Arial"/>
        </w:rPr>
        <w:t>Overall Outcomes:</w:t>
      </w:r>
    </w:p>
    <w:p w:rsidR="00EC40F0" w:rsidRPr="00BD42C8" w:rsidRDefault="00EC40F0" w:rsidP="00EC40F0">
      <w:pPr>
        <w:numPr>
          <w:ilvl w:val="1"/>
          <w:numId w:val="29"/>
        </w:numPr>
        <w:spacing w:before="120"/>
        <w:jc w:val="both"/>
        <w:rPr>
          <w:rFonts w:cs="Arial"/>
          <w:bCs/>
        </w:rPr>
      </w:pPr>
      <w:r w:rsidRPr="00BD42C8">
        <w:rPr>
          <w:rFonts w:cs="Arial"/>
        </w:rPr>
        <w:t xml:space="preserve">(16) - Predominant Land Uses - Mixed Industry and Business Area; </w:t>
      </w:r>
    </w:p>
    <w:p w:rsidR="00EC40F0" w:rsidRPr="00333582" w:rsidRDefault="00EC40F0" w:rsidP="00EC40F0">
      <w:pPr>
        <w:numPr>
          <w:ilvl w:val="1"/>
          <w:numId w:val="29"/>
        </w:numPr>
        <w:spacing w:before="120"/>
        <w:jc w:val="both"/>
        <w:rPr>
          <w:rFonts w:cs="Arial"/>
          <w:bCs/>
        </w:rPr>
      </w:pPr>
      <w:r w:rsidRPr="00333582">
        <w:rPr>
          <w:rFonts w:cs="Arial"/>
          <w:bCs/>
        </w:rPr>
        <w:t xml:space="preserve">(19) - Retail Centre Hierarchy - Hierarchy of Retail </w:t>
      </w:r>
      <w:r>
        <w:rPr>
          <w:rFonts w:cs="Arial"/>
          <w:bCs/>
        </w:rPr>
        <w:t>Centres</w:t>
      </w:r>
      <w:r w:rsidRPr="00333582">
        <w:rPr>
          <w:rFonts w:cs="Arial"/>
          <w:bCs/>
        </w:rPr>
        <w:t xml:space="preserve">; </w:t>
      </w:r>
    </w:p>
    <w:p w:rsidR="00EC40F0" w:rsidRPr="00333582" w:rsidRDefault="00EC40F0" w:rsidP="00EC40F0">
      <w:pPr>
        <w:numPr>
          <w:ilvl w:val="1"/>
          <w:numId w:val="29"/>
        </w:numPr>
        <w:spacing w:before="120"/>
        <w:jc w:val="both"/>
        <w:rPr>
          <w:rFonts w:cs="Arial"/>
          <w:bCs/>
        </w:rPr>
      </w:pPr>
      <w:r w:rsidRPr="00333582">
        <w:rPr>
          <w:rFonts w:cs="Arial"/>
          <w:bCs/>
        </w:rPr>
        <w:t xml:space="preserve">(23) - Retail Centre Hierarchy - Service Centre; </w:t>
      </w:r>
    </w:p>
    <w:p w:rsidR="00EC40F0" w:rsidRPr="00333582" w:rsidRDefault="00EC40F0" w:rsidP="00EC40F0">
      <w:pPr>
        <w:numPr>
          <w:ilvl w:val="1"/>
          <w:numId w:val="29"/>
        </w:numPr>
        <w:spacing w:before="120"/>
        <w:jc w:val="both"/>
        <w:rPr>
          <w:rFonts w:cs="Arial"/>
          <w:bCs/>
        </w:rPr>
      </w:pPr>
      <w:r w:rsidRPr="00333582">
        <w:rPr>
          <w:rFonts w:cs="Arial"/>
          <w:bCs/>
        </w:rPr>
        <w:t xml:space="preserve">(38) - Protection and Enhancement of Existing and Planned Infrastructure; and </w:t>
      </w:r>
    </w:p>
    <w:p w:rsidR="00EC40F0" w:rsidRPr="00333582" w:rsidRDefault="00EC40F0" w:rsidP="00EC40F0">
      <w:pPr>
        <w:numPr>
          <w:ilvl w:val="1"/>
          <w:numId w:val="29"/>
        </w:numPr>
        <w:spacing w:before="120"/>
        <w:jc w:val="both"/>
        <w:rPr>
          <w:rFonts w:cs="Arial"/>
          <w:bCs/>
        </w:rPr>
      </w:pPr>
      <w:r w:rsidRPr="00333582">
        <w:rPr>
          <w:rFonts w:cs="Arial"/>
          <w:bCs/>
        </w:rPr>
        <w:t>(39) - Inconsistent development and impact assessable consistent development.</w:t>
      </w:r>
    </w:p>
    <w:p w:rsidR="00EC40F0" w:rsidRPr="00B52F4B" w:rsidRDefault="00EC40F0" w:rsidP="00EC40F0">
      <w:pPr>
        <w:numPr>
          <w:ilvl w:val="0"/>
          <w:numId w:val="28"/>
        </w:numPr>
        <w:spacing w:before="120"/>
        <w:ind w:left="709" w:hanging="425"/>
        <w:jc w:val="both"/>
        <w:rPr>
          <w:rFonts w:cs="Arial"/>
        </w:rPr>
      </w:pPr>
      <w:r w:rsidRPr="00B52F4B">
        <w:rPr>
          <w:rFonts w:cs="Arial"/>
        </w:rPr>
        <w:t>Springwood Sub Area 9 Code –</w:t>
      </w:r>
    </w:p>
    <w:p w:rsidR="00EC40F0" w:rsidRPr="00B52F4B" w:rsidRDefault="00EC40F0" w:rsidP="00EC40F0">
      <w:pPr>
        <w:numPr>
          <w:ilvl w:val="0"/>
          <w:numId w:val="29"/>
        </w:numPr>
        <w:spacing w:before="120"/>
        <w:jc w:val="both"/>
        <w:rPr>
          <w:rFonts w:cs="Arial"/>
        </w:rPr>
      </w:pPr>
      <w:r w:rsidRPr="00B52F4B">
        <w:rPr>
          <w:rFonts w:cs="Arial"/>
        </w:rPr>
        <w:t>Specific Outcomes:</w:t>
      </w:r>
    </w:p>
    <w:p w:rsidR="00EC40F0" w:rsidRPr="00B52F4B" w:rsidRDefault="00EC40F0" w:rsidP="00EC40F0">
      <w:pPr>
        <w:numPr>
          <w:ilvl w:val="1"/>
          <w:numId w:val="29"/>
        </w:numPr>
        <w:spacing w:before="120"/>
        <w:jc w:val="both"/>
        <w:rPr>
          <w:rFonts w:cs="Arial"/>
          <w:bCs/>
        </w:rPr>
      </w:pPr>
      <w:r w:rsidRPr="00B52F4B">
        <w:rPr>
          <w:rFonts w:cs="Arial"/>
          <w:bCs/>
        </w:rPr>
        <w:t>O1, O2 and O3 – Protection of the Retail Centre Hierarchy and Consolidation of Development;</w:t>
      </w:r>
    </w:p>
    <w:p w:rsidR="00EC40F0" w:rsidRPr="00B52F4B" w:rsidRDefault="00EC40F0" w:rsidP="00EC40F0">
      <w:pPr>
        <w:numPr>
          <w:ilvl w:val="1"/>
          <w:numId w:val="29"/>
        </w:numPr>
        <w:spacing w:before="120"/>
        <w:jc w:val="both"/>
        <w:rPr>
          <w:rFonts w:cs="Arial"/>
          <w:bCs/>
        </w:rPr>
      </w:pPr>
      <w:r w:rsidRPr="00B52F4B">
        <w:rPr>
          <w:rFonts w:cs="Arial"/>
          <w:bCs/>
        </w:rPr>
        <w:t>O4, O5 and O6 – Protection against Development of an Inconsistent Scale, Form and Intensity and Protection and Enhancement of Amenity and Character;</w:t>
      </w:r>
      <w:r>
        <w:rPr>
          <w:rFonts w:cs="Arial"/>
          <w:bCs/>
        </w:rPr>
        <w:t xml:space="preserve"> and</w:t>
      </w:r>
    </w:p>
    <w:p w:rsidR="00EC40F0" w:rsidRPr="00B52F4B" w:rsidRDefault="00EC40F0" w:rsidP="00EC40F0">
      <w:pPr>
        <w:numPr>
          <w:ilvl w:val="1"/>
          <w:numId w:val="29"/>
        </w:numPr>
        <w:spacing w:before="120"/>
        <w:jc w:val="both"/>
        <w:rPr>
          <w:rFonts w:cs="Arial"/>
          <w:bCs/>
        </w:rPr>
      </w:pPr>
      <w:r w:rsidRPr="00B52F4B">
        <w:rPr>
          <w:rFonts w:cs="Arial"/>
          <w:bCs/>
        </w:rPr>
        <w:t>O7, O8 and O9 – Provision of a Safe, Efficient and Legible Road Network, Cycleway Network and Pedestrian Network and Protection of the Road Hierarchy.</w:t>
      </w:r>
    </w:p>
    <w:p w:rsidR="00EC40F0" w:rsidRPr="00852EA3" w:rsidRDefault="00EC40F0" w:rsidP="00EC40F0">
      <w:pPr>
        <w:numPr>
          <w:ilvl w:val="0"/>
          <w:numId w:val="28"/>
        </w:numPr>
        <w:spacing w:before="120"/>
        <w:ind w:left="709" w:hanging="425"/>
        <w:jc w:val="both"/>
        <w:rPr>
          <w:rFonts w:cs="Arial"/>
        </w:rPr>
      </w:pPr>
      <w:proofErr w:type="spellStart"/>
      <w:r w:rsidRPr="00852EA3">
        <w:rPr>
          <w:rFonts w:cs="Arial"/>
        </w:rPr>
        <w:t>Non Urban</w:t>
      </w:r>
      <w:proofErr w:type="spellEnd"/>
      <w:r w:rsidRPr="00852EA3">
        <w:rPr>
          <w:rFonts w:cs="Arial"/>
        </w:rPr>
        <w:t xml:space="preserve"> and Conservation Locality and Zones Code –</w:t>
      </w:r>
    </w:p>
    <w:p w:rsidR="00EC40F0" w:rsidRPr="00852EA3" w:rsidRDefault="00EC40F0" w:rsidP="00EC40F0">
      <w:pPr>
        <w:numPr>
          <w:ilvl w:val="0"/>
          <w:numId w:val="29"/>
        </w:numPr>
        <w:spacing w:before="120"/>
        <w:jc w:val="both"/>
        <w:rPr>
          <w:rFonts w:cs="Arial"/>
        </w:rPr>
      </w:pPr>
      <w:r w:rsidRPr="00852EA3">
        <w:rPr>
          <w:rFonts w:cs="Arial"/>
        </w:rPr>
        <w:t>Specific Outcomes:</w:t>
      </w:r>
    </w:p>
    <w:p w:rsidR="00826340" w:rsidRDefault="00EC40F0" w:rsidP="00EC40F0">
      <w:pPr>
        <w:pStyle w:val="LCCNumber"/>
        <w:numPr>
          <w:ilvl w:val="0"/>
          <w:numId w:val="0"/>
        </w:numPr>
        <w:ind w:left="567"/>
        <w:rPr>
          <w:rFonts w:cs="Arial"/>
          <w:bCs/>
        </w:rPr>
      </w:pPr>
      <w:r w:rsidRPr="00B76C1A">
        <w:rPr>
          <w:rFonts w:cs="Arial"/>
          <w:bCs/>
        </w:rPr>
        <w:t>O10 – Protection and Enhancement of Character Areas</w:t>
      </w:r>
      <w:r>
        <w:rPr>
          <w:rFonts w:cs="Arial"/>
          <w:bCs/>
        </w:rPr>
        <w:t>.</w:t>
      </w:r>
    </w:p>
    <w:p w:rsidR="00EC40F0" w:rsidRDefault="00EC40F0" w:rsidP="00EC40F0">
      <w:pPr>
        <w:pStyle w:val="LCCNumber"/>
        <w:numPr>
          <w:ilvl w:val="0"/>
          <w:numId w:val="0"/>
        </w:numPr>
        <w:ind w:left="567"/>
      </w:pPr>
    </w:p>
    <w:p w:rsidR="00BD14CB" w:rsidRDefault="00077171" w:rsidP="00D01790">
      <w:pPr>
        <w:pStyle w:val="ListNumber"/>
        <w:jc w:val="both"/>
      </w:pPr>
      <w:r w:rsidRPr="00BD14CB">
        <w:t xml:space="preserve">reasons for decision that conflicts with planning laws and policies </w:t>
      </w:r>
    </w:p>
    <w:p w:rsidR="00826340" w:rsidRDefault="00077171" w:rsidP="00D01790">
      <w:pPr>
        <w:pStyle w:val="StyleNormalIndentAfter10pt"/>
        <w:jc w:val="both"/>
      </w:pPr>
      <w:r w:rsidRPr="00B70EAE">
        <w:t>In accordance with Section 335(1</w:t>
      </w:r>
      <w:proofErr w:type="gramStart"/>
      <w:r w:rsidRPr="00B70EAE">
        <w:t>)(</w:t>
      </w:r>
      <w:proofErr w:type="gramEnd"/>
      <w:r w:rsidRPr="00B70EAE">
        <w:t xml:space="preserve">n) of the </w:t>
      </w:r>
      <w:r w:rsidRPr="00A934E4">
        <w:rPr>
          <w:i/>
        </w:rPr>
        <w:t>Sustainable Planning Act 2009</w:t>
      </w:r>
      <w:r w:rsidRPr="00B70EAE">
        <w:t xml:space="preserve"> the reasons</w:t>
      </w:r>
      <w:r w:rsidRPr="00B70EAE">
        <w:t xml:space="preserve"> for the decision despite the conflicts mentioned in item 1</w:t>
      </w:r>
      <w:r>
        <w:t>3</w:t>
      </w:r>
      <w:r w:rsidRPr="00B70EAE">
        <w:t>, including a statement of the sufficient grounds, are;</w:t>
      </w:r>
    </w:p>
    <w:p w:rsidR="00EC40F0" w:rsidRPr="00EC40F0" w:rsidRDefault="00EC40F0" w:rsidP="00EC40F0">
      <w:pPr>
        <w:pStyle w:val="LCCNumber"/>
        <w:numPr>
          <w:ilvl w:val="0"/>
          <w:numId w:val="30"/>
        </w:numPr>
        <w:rPr>
          <w:b/>
          <w:bCs/>
          <w:u w:val="single"/>
        </w:rPr>
      </w:pPr>
      <w:r w:rsidRPr="00EC40F0">
        <w:t xml:space="preserve">The development complies with all the relevant Specific Outcomes and Overall Outcomes prescribed by the </w:t>
      </w:r>
      <w:r w:rsidRPr="00EC40F0">
        <w:rPr>
          <w:bCs/>
        </w:rPr>
        <w:t>Rural Related Uses</w:t>
      </w:r>
      <w:r w:rsidRPr="00EC40F0">
        <w:t xml:space="preserve"> Code.</w:t>
      </w:r>
    </w:p>
    <w:p w:rsidR="00EC40F0" w:rsidRPr="00EC40F0" w:rsidRDefault="00EC40F0" w:rsidP="00EC40F0">
      <w:pPr>
        <w:pStyle w:val="LCCNumber"/>
        <w:numPr>
          <w:ilvl w:val="0"/>
          <w:numId w:val="30"/>
        </w:numPr>
        <w:rPr>
          <w:b/>
          <w:bCs/>
          <w:u w:val="single"/>
        </w:rPr>
      </w:pPr>
      <w:r w:rsidRPr="00EC40F0">
        <w:t xml:space="preserve">The development complies with all the relevant Overall Outcomes prescribed by the </w:t>
      </w:r>
      <w:proofErr w:type="spellStart"/>
      <w:r w:rsidRPr="00EC40F0">
        <w:rPr>
          <w:bCs/>
        </w:rPr>
        <w:t>Non Urban</w:t>
      </w:r>
      <w:proofErr w:type="spellEnd"/>
      <w:r w:rsidRPr="00EC40F0">
        <w:rPr>
          <w:bCs/>
        </w:rPr>
        <w:t xml:space="preserve"> and Conservation Locality and Zone Code, and </w:t>
      </w:r>
      <w:proofErr w:type="spellStart"/>
      <w:r w:rsidRPr="00EC40F0">
        <w:rPr>
          <w:bCs/>
        </w:rPr>
        <w:t>Non Urban</w:t>
      </w:r>
      <w:proofErr w:type="spellEnd"/>
      <w:r w:rsidRPr="00EC40F0">
        <w:rPr>
          <w:bCs/>
        </w:rPr>
        <w:t xml:space="preserve"> Sub Area 4 Zone Code</w:t>
      </w:r>
      <w:r w:rsidRPr="00EC40F0">
        <w:t>.</w:t>
      </w:r>
    </w:p>
    <w:p w:rsidR="00EC40F0" w:rsidRPr="00EC40F0" w:rsidRDefault="00EC40F0" w:rsidP="00EC40F0">
      <w:pPr>
        <w:pStyle w:val="LCCNumber"/>
        <w:numPr>
          <w:ilvl w:val="0"/>
          <w:numId w:val="30"/>
        </w:numPr>
        <w:rPr>
          <w:b/>
          <w:bCs/>
          <w:u w:val="single"/>
        </w:rPr>
      </w:pPr>
      <w:r w:rsidRPr="00EC40F0">
        <w:t xml:space="preserve">The development can be conditioned to comply with all the relevant Specific Outcomes and/or Overall Outcomes prescribed by the </w:t>
      </w:r>
      <w:r w:rsidRPr="00EC40F0">
        <w:rPr>
          <w:bCs/>
        </w:rPr>
        <w:t>Works Codes</w:t>
      </w:r>
      <w:r w:rsidRPr="00EC40F0">
        <w:t>.</w:t>
      </w:r>
    </w:p>
    <w:p w:rsidR="00EC40F0" w:rsidRPr="00EC40F0" w:rsidRDefault="00EC40F0" w:rsidP="00EC40F0">
      <w:pPr>
        <w:pStyle w:val="LCCNumber"/>
        <w:numPr>
          <w:ilvl w:val="0"/>
          <w:numId w:val="30"/>
        </w:numPr>
      </w:pPr>
      <w:r w:rsidRPr="00EC40F0">
        <w:t>Despite being lodged under the Logan Planning Scheme 2006, significant weight has been given to the current Logan Planning Scheme 2015.  The development will comply with the current zone intent of the Mixed Use Zone under the current Logan Planning Scheme 2015.</w:t>
      </w:r>
    </w:p>
    <w:p w:rsidR="00EC40F0" w:rsidRPr="00EC40F0" w:rsidRDefault="00EC40F0" w:rsidP="00EC40F0">
      <w:pPr>
        <w:pStyle w:val="LCCNumber"/>
        <w:numPr>
          <w:ilvl w:val="0"/>
          <w:numId w:val="30"/>
        </w:numPr>
        <w:rPr>
          <w:b/>
          <w:bCs/>
          <w:u w:val="single"/>
        </w:rPr>
      </w:pPr>
      <w:r w:rsidRPr="00EC40F0">
        <w:t>The development will be conditioned to extend Perrin Drive and associated infrastructure through the development site to the property boundary of 139 Compton Road to secure a safe, efficient and legible infrastructure network.  This will be conditioned in accordance with:</w:t>
      </w:r>
    </w:p>
    <w:p w:rsidR="00EC40F0" w:rsidRPr="00EC40F0" w:rsidRDefault="00EC40F0" w:rsidP="00EC40F0">
      <w:pPr>
        <w:pStyle w:val="LCCNumber"/>
        <w:numPr>
          <w:ilvl w:val="1"/>
          <w:numId w:val="30"/>
        </w:numPr>
        <w:tabs>
          <w:tab w:val="clear" w:pos="-261"/>
        </w:tabs>
        <w:ind w:left="1134" w:hanging="283"/>
        <w:rPr>
          <w:b/>
          <w:bCs/>
          <w:u w:val="single"/>
        </w:rPr>
      </w:pPr>
      <w:r w:rsidRPr="00EC40F0">
        <w:t xml:space="preserve">Section 665 of the </w:t>
      </w:r>
      <w:r w:rsidRPr="00EC40F0">
        <w:rPr>
          <w:i/>
        </w:rPr>
        <w:t>Sustainable Planning Act 2009</w:t>
      </w:r>
      <w:r w:rsidRPr="00EC40F0">
        <w:t>;</w:t>
      </w:r>
    </w:p>
    <w:p w:rsidR="00EC40F0" w:rsidRPr="00EC40F0" w:rsidRDefault="00EC40F0" w:rsidP="00EC40F0">
      <w:pPr>
        <w:pStyle w:val="LCCNumber"/>
        <w:numPr>
          <w:ilvl w:val="1"/>
          <w:numId w:val="30"/>
        </w:numPr>
        <w:tabs>
          <w:tab w:val="clear" w:pos="-261"/>
        </w:tabs>
        <w:ind w:left="1134" w:hanging="283"/>
        <w:rPr>
          <w:b/>
          <w:bCs/>
          <w:u w:val="single"/>
        </w:rPr>
      </w:pPr>
      <w:r w:rsidRPr="00EC40F0">
        <w:rPr>
          <w:i/>
        </w:rPr>
        <w:lastRenderedPageBreak/>
        <w:t>Structure Plan Map 1B</w:t>
      </w:r>
      <w:r w:rsidRPr="00EC40F0">
        <w:t xml:space="preserve"> – </w:t>
      </w:r>
      <w:r w:rsidRPr="00EC40F0">
        <w:rPr>
          <w:i/>
        </w:rPr>
        <w:t>Springwood Zone and Public Open Space Zone PO5 Sub-Area (Compton Road)</w:t>
      </w:r>
      <w:r w:rsidRPr="00EC40F0">
        <w:t xml:space="preserve"> (SP Map 1B) under the assessable Logan Planning Scheme 2006; and </w:t>
      </w:r>
    </w:p>
    <w:p w:rsidR="00EC40F0" w:rsidRPr="00EC40F0" w:rsidRDefault="00EC40F0" w:rsidP="00EC40F0">
      <w:pPr>
        <w:pStyle w:val="LCCNumber"/>
        <w:numPr>
          <w:ilvl w:val="1"/>
          <w:numId w:val="30"/>
        </w:numPr>
        <w:tabs>
          <w:tab w:val="clear" w:pos="-261"/>
        </w:tabs>
        <w:ind w:left="1134" w:hanging="283"/>
        <w:rPr>
          <w:b/>
          <w:bCs/>
          <w:u w:val="single"/>
        </w:rPr>
      </w:pPr>
      <w:r w:rsidRPr="00EC40F0">
        <w:t>Purpose statement (3</w:t>
      </w:r>
      <w:proofErr w:type="gramStart"/>
      <w:r w:rsidRPr="00EC40F0">
        <w:t>)(</w:t>
      </w:r>
      <w:proofErr w:type="gramEnd"/>
      <w:r w:rsidRPr="00EC40F0">
        <w:t>d) of the Mixed Use Zone Code under the current Logan Planning Scheme 2015.</w:t>
      </w:r>
    </w:p>
    <w:p w:rsidR="00EC40F0" w:rsidRPr="00EC40F0" w:rsidRDefault="00EC40F0" w:rsidP="00EC40F0">
      <w:pPr>
        <w:pStyle w:val="LCCNumber"/>
        <w:numPr>
          <w:ilvl w:val="0"/>
          <w:numId w:val="30"/>
        </w:numPr>
      </w:pPr>
      <w:r w:rsidRPr="00EC40F0">
        <w:t xml:space="preserve">The development will be conditioned to upgrade Compton Road in accordance with the design standards under the Logan Planning Scheme 2015.  These upgrades will include a minimum 2.5 metre wide shared path along the frontage of the development site.  </w:t>
      </w:r>
    </w:p>
    <w:p w:rsidR="00603E5C" w:rsidRDefault="00077171" w:rsidP="00EC40F0">
      <w:pPr>
        <w:pStyle w:val="LCCNumber"/>
        <w:numPr>
          <w:ilvl w:val="0"/>
          <w:numId w:val="0"/>
        </w:numPr>
      </w:pPr>
    </w:p>
    <w:p w:rsidR="00826340" w:rsidRDefault="00077171" w:rsidP="00D01790">
      <w:pPr>
        <w:pStyle w:val="ListNumber"/>
        <w:jc w:val="both"/>
      </w:pPr>
      <w:r>
        <w:t>rights of appeal</w:t>
      </w:r>
    </w:p>
    <w:p w:rsidR="00826340" w:rsidRDefault="00077171" w:rsidP="00D01790">
      <w:pPr>
        <w:pStyle w:val="StyleNormalIndentAfter10pt"/>
        <w:jc w:val="both"/>
      </w:pPr>
      <w:r w:rsidRPr="00B70EAE">
        <w:t xml:space="preserve">Rights of appeal in relation to this application are attached.  </w:t>
      </w:r>
    </w:p>
    <w:p w:rsidR="0084728F" w:rsidRPr="00B70EAE" w:rsidRDefault="00077171" w:rsidP="00D01790">
      <w:pPr>
        <w:pStyle w:val="StyleNormalIndentAfter10pt"/>
        <w:jc w:val="both"/>
      </w:pPr>
    </w:p>
    <w:p w:rsidR="00896D1E" w:rsidRPr="00896D1E" w:rsidRDefault="00077171" w:rsidP="00D01790">
      <w:pPr>
        <w:jc w:val="both"/>
      </w:pPr>
    </w:p>
    <w:p w:rsidR="00826340" w:rsidRPr="00896D1E" w:rsidRDefault="00077171" w:rsidP="00D01790">
      <w:pPr>
        <w:jc w:val="both"/>
      </w:pPr>
      <w:r w:rsidRPr="00896D1E">
        <w:t xml:space="preserve">For further information about this application please </w:t>
      </w:r>
      <w:r w:rsidRPr="00896D1E">
        <w:t>contact the Assessment Manager on (07) 3412 5269 or via email on bpuda@logan.qld.gov.au</w:t>
      </w:r>
    </w:p>
    <w:p w:rsidR="00826340" w:rsidRPr="00896D1E" w:rsidRDefault="00077171" w:rsidP="00D01790">
      <w:pPr>
        <w:jc w:val="both"/>
      </w:pPr>
    </w:p>
    <w:p w:rsidR="00826340" w:rsidRPr="00896D1E" w:rsidRDefault="00077171" w:rsidP="00D01790">
      <w:pPr>
        <w:jc w:val="both"/>
      </w:pPr>
      <w:r w:rsidRPr="00896D1E">
        <w:t>Yours faithfully</w:t>
      </w:r>
    </w:p>
    <w:p w:rsidR="00826340" w:rsidRDefault="00077171" w:rsidP="00D01790">
      <w:pPr>
        <w:keepNext/>
        <w:keepLines/>
        <w:jc w:val="both"/>
      </w:pPr>
    </w:p>
    <w:p w:rsidR="00826340" w:rsidRDefault="00077171" w:rsidP="00D01790">
      <w:pPr>
        <w:keepNext/>
        <w:keepLines/>
        <w:jc w:val="both"/>
      </w:pPr>
    </w:p>
    <w:p w:rsidR="00826340" w:rsidRDefault="00077171" w:rsidP="00D01790">
      <w:pPr>
        <w:keepNext/>
        <w:keepLines/>
        <w:jc w:val="both"/>
      </w:pPr>
    </w:p>
    <w:p w:rsidR="00077171" w:rsidRDefault="00077171" w:rsidP="00D01790">
      <w:pPr>
        <w:keepNext/>
        <w:keepLines/>
        <w:jc w:val="both"/>
      </w:pPr>
    </w:p>
    <w:p w:rsidR="00826340" w:rsidRDefault="00617C2D" w:rsidP="00D01790">
      <w:pPr>
        <w:keepNext/>
        <w:keepLines/>
        <w:jc w:val="both"/>
      </w:pPr>
      <w:r>
        <w:t>Adam Avalos</w:t>
      </w:r>
    </w:p>
    <w:tbl>
      <w:tblPr>
        <w:tblW w:w="5000" w:type="pct"/>
        <w:tblBorders>
          <w:insideH w:val="single" w:sz="4" w:space="0" w:color="auto"/>
        </w:tblBorders>
        <w:tblLook w:val="01E0" w:firstRow="1" w:lastRow="1" w:firstColumn="1" w:lastColumn="1" w:noHBand="0" w:noVBand="0"/>
      </w:tblPr>
      <w:tblGrid>
        <w:gridCol w:w="4870"/>
        <w:gridCol w:w="4870"/>
      </w:tblGrid>
      <w:tr w:rsidR="00826340" w:rsidRPr="00124E86" w:rsidTr="00896D1E">
        <w:tc>
          <w:tcPr>
            <w:tcW w:w="2500" w:type="pct"/>
            <w:tcBorders>
              <w:top w:val="nil"/>
              <w:bottom w:val="nil"/>
            </w:tcBorders>
            <w:shd w:val="clear" w:color="auto" w:fill="auto"/>
            <w:vAlign w:val="bottom"/>
          </w:tcPr>
          <w:p w:rsidR="00826340" w:rsidRPr="000538D5" w:rsidRDefault="00617C2D" w:rsidP="00D01790">
            <w:pPr>
              <w:jc w:val="both"/>
            </w:pPr>
            <w:r>
              <w:t>Major Developments  Program Leader</w:t>
            </w:r>
          </w:p>
          <w:p w:rsidR="00826340" w:rsidRPr="00D934C3" w:rsidRDefault="00077171" w:rsidP="00D01790">
            <w:pPr>
              <w:jc w:val="both"/>
              <w:rPr>
                <w:rFonts w:ascii="Book Antiqua" w:hAnsi="Book Antiqua" w:cs="Book Antiqua"/>
                <w:sz w:val="18"/>
                <w:u w:val="single"/>
              </w:rPr>
            </w:pPr>
            <w:r w:rsidRPr="00D934C3">
              <w:rPr>
                <w:sz w:val="18"/>
                <w:u w:val="single"/>
              </w:rPr>
              <w:t>(on behalf of Chris Rose, Chief Executive Officer)</w:t>
            </w:r>
          </w:p>
        </w:tc>
        <w:tc>
          <w:tcPr>
            <w:tcW w:w="2500" w:type="pct"/>
            <w:shd w:val="clear" w:color="auto" w:fill="auto"/>
            <w:vAlign w:val="bottom"/>
          </w:tcPr>
          <w:p w:rsidR="00826340" w:rsidRPr="00124E86" w:rsidRDefault="00077171" w:rsidP="00D01790">
            <w:pPr>
              <w:jc w:val="both"/>
              <w:rPr>
                <w:rFonts w:ascii="Book Antiqua" w:hAnsi="Book Antiqua" w:cs="Book Antiqua"/>
              </w:rPr>
            </w:pPr>
          </w:p>
        </w:tc>
      </w:tr>
      <w:tr w:rsidR="00826340" w:rsidRPr="00124E86" w:rsidTr="00896D1E">
        <w:trPr>
          <w:trHeight w:val="284"/>
        </w:trPr>
        <w:tc>
          <w:tcPr>
            <w:tcW w:w="2500" w:type="pct"/>
            <w:tcBorders>
              <w:top w:val="nil"/>
            </w:tcBorders>
            <w:shd w:val="clear" w:color="auto" w:fill="auto"/>
            <w:vAlign w:val="bottom"/>
          </w:tcPr>
          <w:p w:rsidR="00826340" w:rsidRPr="00124E86" w:rsidRDefault="00077171" w:rsidP="00D01790">
            <w:pPr>
              <w:jc w:val="both"/>
              <w:rPr>
                <w:rFonts w:ascii="Book Antiqua" w:hAnsi="Book Antiqua" w:cs="Book Antiqua"/>
              </w:rPr>
            </w:pPr>
            <w:proofErr w:type="spellStart"/>
            <w:r>
              <w:t>Att</w:t>
            </w:r>
            <w:proofErr w:type="spellEnd"/>
            <w:r>
              <w:t>:</w:t>
            </w:r>
          </w:p>
        </w:tc>
        <w:tc>
          <w:tcPr>
            <w:tcW w:w="2500" w:type="pct"/>
            <w:shd w:val="clear" w:color="auto" w:fill="auto"/>
            <w:tcMar>
              <w:top w:w="28" w:type="dxa"/>
              <w:left w:w="108" w:type="dxa"/>
              <w:bottom w:w="28" w:type="dxa"/>
              <w:right w:w="108" w:type="dxa"/>
            </w:tcMar>
            <w:vAlign w:val="bottom"/>
          </w:tcPr>
          <w:p w:rsidR="00826340" w:rsidRPr="00124E86" w:rsidRDefault="00077171" w:rsidP="00D01790">
            <w:pPr>
              <w:jc w:val="both"/>
              <w:rPr>
                <w:rFonts w:ascii="Book Antiqua" w:hAnsi="Book Antiqua" w:cs="Book Antiqua"/>
              </w:rPr>
            </w:pPr>
            <w:r w:rsidRPr="008847D1">
              <w:rPr>
                <w:noProof/>
              </w:rPr>
              <w:t>John Gibson</w:t>
            </w:r>
          </w:p>
        </w:tc>
      </w:tr>
    </w:tbl>
    <w:p w:rsidR="00FC07D7" w:rsidRDefault="00077171" w:rsidP="00D01790">
      <w:pPr>
        <w:jc w:val="both"/>
      </w:pPr>
    </w:p>
    <w:p w:rsidR="00F63D00" w:rsidRDefault="00077171" w:rsidP="00D01790">
      <w:pPr>
        <w:jc w:val="both"/>
      </w:pPr>
    </w:p>
    <w:p w:rsidR="00826340" w:rsidRPr="000A0225" w:rsidRDefault="00077171" w:rsidP="008C7DF2">
      <w:pPr>
        <w:pStyle w:val="StyleBoldCenteredAfter12pt"/>
      </w:pPr>
      <w:r>
        <w:br w:type="page"/>
      </w:r>
      <w:r w:rsidRPr="000A0225">
        <w:lastRenderedPageBreak/>
        <w:t>APPEAL PROVISIONS</w:t>
      </w:r>
    </w:p>
    <w:p w:rsidR="00826340" w:rsidRPr="00C555B6" w:rsidRDefault="00077171" w:rsidP="00D01790">
      <w:pPr>
        <w:pStyle w:val="provisionsa"/>
        <w:spacing w:after="120"/>
        <w:rPr>
          <w:rFonts w:ascii="Arial" w:hAnsi="Arial"/>
          <w:sz w:val="16"/>
        </w:rPr>
      </w:pPr>
      <w:r w:rsidRPr="00C555B6">
        <w:rPr>
          <w:rFonts w:ascii="Arial" w:hAnsi="Arial"/>
          <w:sz w:val="16"/>
        </w:rPr>
        <w:t xml:space="preserve">Pursuant to the provisions of Chapter 7of the </w:t>
      </w:r>
      <w:r w:rsidRPr="00C555B6">
        <w:rPr>
          <w:rFonts w:ascii="Arial" w:hAnsi="Arial"/>
          <w:i/>
          <w:sz w:val="16"/>
        </w:rPr>
        <w:t>Sustain</w:t>
      </w:r>
      <w:r w:rsidRPr="00C555B6">
        <w:rPr>
          <w:rFonts w:ascii="Arial" w:hAnsi="Arial"/>
          <w:i/>
          <w:sz w:val="16"/>
        </w:rPr>
        <w:t>able Planning Act 2009</w:t>
      </w:r>
      <w:r w:rsidRPr="00C555B6">
        <w:rPr>
          <w:rFonts w:ascii="Arial" w:hAnsi="Arial"/>
          <w:sz w:val="16"/>
        </w:rPr>
        <w:t>, a person may appeal to the Planning and Environment Court against the decision of the Council.</w:t>
      </w:r>
    </w:p>
    <w:p w:rsidR="00826340" w:rsidRPr="00C555B6" w:rsidRDefault="00077171" w:rsidP="00D01790">
      <w:pPr>
        <w:pStyle w:val="provisionsa"/>
        <w:spacing w:after="120"/>
        <w:rPr>
          <w:rFonts w:ascii="Arial" w:hAnsi="Arial"/>
          <w:sz w:val="16"/>
        </w:rPr>
      </w:pPr>
      <w:r w:rsidRPr="00C555B6">
        <w:rPr>
          <w:rFonts w:ascii="Arial" w:hAnsi="Arial"/>
          <w:sz w:val="16"/>
        </w:rPr>
        <w:t>In the event of an appeal being started, the applicant/submitter is required to give written notice of the appeal to the Planning and Env</w:t>
      </w:r>
      <w:r w:rsidRPr="00C555B6">
        <w:rPr>
          <w:rFonts w:ascii="Arial" w:hAnsi="Arial"/>
          <w:sz w:val="16"/>
        </w:rPr>
        <w:t>ironment Court pursuant to Section 481 against the decision of the Council.</w:t>
      </w:r>
    </w:p>
    <w:p w:rsidR="00826340" w:rsidRPr="00C555B6" w:rsidRDefault="00077171" w:rsidP="00D01790">
      <w:pPr>
        <w:pStyle w:val="provisionsa"/>
        <w:spacing w:after="120"/>
        <w:rPr>
          <w:rFonts w:ascii="Arial" w:hAnsi="Arial"/>
          <w:sz w:val="16"/>
        </w:rPr>
      </w:pPr>
      <w:r w:rsidRPr="00C555B6">
        <w:rPr>
          <w:rFonts w:ascii="Arial" w:hAnsi="Arial"/>
          <w:sz w:val="16"/>
        </w:rPr>
        <w:t>In the event of an appeal being started, the applicant/submitter is required to give written notice of the appeal to the entity specified in Section 482.</w:t>
      </w:r>
    </w:p>
    <w:p w:rsidR="00826340" w:rsidRPr="00C555B6" w:rsidRDefault="00077171" w:rsidP="00D01790">
      <w:pPr>
        <w:pStyle w:val="provisionsa"/>
        <w:spacing w:after="120"/>
        <w:rPr>
          <w:rFonts w:ascii="Arial" w:hAnsi="Arial"/>
          <w:sz w:val="16"/>
        </w:rPr>
      </w:pPr>
      <w:r w:rsidRPr="00C555B6">
        <w:rPr>
          <w:rFonts w:ascii="Arial" w:hAnsi="Arial"/>
          <w:sz w:val="16"/>
        </w:rPr>
        <w:t>The relevant provisions of</w:t>
      </w:r>
      <w:r w:rsidRPr="00C555B6">
        <w:rPr>
          <w:rFonts w:ascii="Arial" w:hAnsi="Arial"/>
          <w:sz w:val="16"/>
        </w:rPr>
        <w:t xml:space="preserve"> the </w:t>
      </w:r>
      <w:r w:rsidRPr="00C555B6">
        <w:rPr>
          <w:rFonts w:ascii="Arial" w:hAnsi="Arial"/>
          <w:i/>
          <w:sz w:val="16"/>
        </w:rPr>
        <w:t>Sustainable Planning Act 2009</w:t>
      </w:r>
      <w:r w:rsidRPr="00C555B6">
        <w:rPr>
          <w:rFonts w:ascii="Arial" w:hAnsi="Arial"/>
          <w:sz w:val="16"/>
        </w:rPr>
        <w:t xml:space="preserve"> and the form prescribed for the institution of an appeal are set out below.</w:t>
      </w:r>
    </w:p>
    <w:p w:rsidR="00826340" w:rsidRDefault="00077171" w:rsidP="00D01790">
      <w:pPr>
        <w:pStyle w:val="StyleprovisionsaArial8ptBold"/>
      </w:pPr>
      <w:r>
        <w:t xml:space="preserve">PROVISIONS OF THE </w:t>
      </w:r>
      <w:r w:rsidRPr="00A934E4">
        <w:rPr>
          <w:i/>
          <w:iCs/>
        </w:rPr>
        <w:t>SUSTAINABLE PLANNING ACT 2009</w:t>
      </w:r>
    </w:p>
    <w:p w:rsidR="00826340" w:rsidRPr="00C555B6" w:rsidRDefault="00077171" w:rsidP="00D01790">
      <w:pPr>
        <w:pStyle w:val="StyleprovisionsaArial8ptBold"/>
      </w:pPr>
      <w:r w:rsidRPr="00C555B6">
        <w:t>461 Appeals by applicants</w:t>
      </w:r>
    </w:p>
    <w:p w:rsidR="00826340" w:rsidRDefault="00077171" w:rsidP="00D01790">
      <w:pPr>
        <w:pStyle w:val="line1"/>
      </w:pPr>
      <w:r>
        <w:t>(1)</w:t>
      </w:r>
      <w:r>
        <w:tab/>
        <w:t xml:space="preserve">An applicant for a development application may appeal to the court </w:t>
      </w:r>
      <w:r>
        <w:t>against any of the following—</w:t>
      </w:r>
    </w:p>
    <w:p w:rsidR="00826340" w:rsidRDefault="00077171" w:rsidP="00D01790">
      <w:pPr>
        <w:pStyle w:val="line2"/>
      </w:pPr>
      <w:r>
        <w:t>(a)</w:t>
      </w:r>
      <w:r>
        <w:tab/>
      </w:r>
      <w:proofErr w:type="gramStart"/>
      <w:r>
        <w:t>the</w:t>
      </w:r>
      <w:proofErr w:type="gramEnd"/>
      <w:r>
        <w:t xml:space="preserve"> refusal, or the refusal in part, of the development application;</w:t>
      </w:r>
    </w:p>
    <w:p w:rsidR="00826340" w:rsidRDefault="00077171" w:rsidP="00D01790">
      <w:pPr>
        <w:pStyle w:val="line2"/>
      </w:pPr>
      <w:r>
        <w:t>(b)</w:t>
      </w:r>
      <w:r>
        <w:tab/>
      </w:r>
      <w:proofErr w:type="gramStart"/>
      <w:r>
        <w:t>any</w:t>
      </w:r>
      <w:proofErr w:type="gramEnd"/>
      <w:r>
        <w:t xml:space="preserve"> condition of a development approval, another matter stated in a development approval and the identification or inclusion of a code under Section </w:t>
      </w:r>
      <w:r>
        <w:t>242;</w:t>
      </w:r>
    </w:p>
    <w:p w:rsidR="00826340" w:rsidRDefault="00077171" w:rsidP="00D01790">
      <w:pPr>
        <w:pStyle w:val="line2"/>
      </w:pPr>
      <w:r>
        <w:t>(c)</w:t>
      </w:r>
      <w:r>
        <w:tab/>
      </w:r>
      <w:proofErr w:type="gramStart"/>
      <w:r>
        <w:t>the</w:t>
      </w:r>
      <w:proofErr w:type="gramEnd"/>
      <w:r>
        <w:t xml:space="preserve"> decision to give a preliminary approval when a development permit was applied for;</w:t>
      </w:r>
    </w:p>
    <w:p w:rsidR="00826340" w:rsidRDefault="00077171" w:rsidP="00D01790">
      <w:pPr>
        <w:pStyle w:val="line2"/>
      </w:pPr>
      <w:r>
        <w:t>(d)</w:t>
      </w:r>
      <w:r>
        <w:tab/>
      </w:r>
      <w:proofErr w:type="gramStart"/>
      <w:r>
        <w:t>the</w:t>
      </w:r>
      <w:proofErr w:type="gramEnd"/>
      <w:r>
        <w:t xml:space="preserve"> length of a period mentioned in Section 341;</w:t>
      </w:r>
    </w:p>
    <w:p w:rsidR="00826340" w:rsidRDefault="00077171" w:rsidP="00D01790">
      <w:pPr>
        <w:pStyle w:val="line2"/>
      </w:pPr>
      <w:r>
        <w:t>(e)</w:t>
      </w:r>
      <w:r>
        <w:tab/>
      </w:r>
      <w:proofErr w:type="gramStart"/>
      <w:r>
        <w:t>a</w:t>
      </w:r>
      <w:proofErr w:type="gramEnd"/>
      <w:r>
        <w:t xml:space="preserve"> deemed refusal of the development application.</w:t>
      </w:r>
    </w:p>
    <w:p w:rsidR="00826340" w:rsidRDefault="00077171" w:rsidP="00D01790">
      <w:pPr>
        <w:pStyle w:val="line1"/>
      </w:pPr>
      <w:r>
        <w:t>(2)</w:t>
      </w:r>
      <w:r>
        <w:tab/>
        <w:t xml:space="preserve">An appeal under </w:t>
      </w:r>
      <w:proofErr w:type="spellStart"/>
      <w:r>
        <w:t>subSection</w:t>
      </w:r>
      <w:proofErr w:type="spellEnd"/>
      <w:r>
        <w:t xml:space="preserve"> (1)(a), (b), (c) or (d)</w:t>
      </w:r>
      <w:r>
        <w:t xml:space="preserve"> must be started within 20 business days (the applicant’s appeal period) after—</w:t>
      </w:r>
    </w:p>
    <w:p w:rsidR="00826340" w:rsidRDefault="00077171" w:rsidP="00D01790">
      <w:pPr>
        <w:pStyle w:val="line2"/>
      </w:pPr>
      <w:r>
        <w:t>(a)</w:t>
      </w:r>
      <w:r>
        <w:tab/>
        <w:t>if a decision notice or negotiated decision notice is given—the day the decision notice or negotiated decision notice is given to the applicant; or</w:t>
      </w:r>
    </w:p>
    <w:p w:rsidR="00826340" w:rsidRDefault="00077171" w:rsidP="00D01790">
      <w:pPr>
        <w:pStyle w:val="line2"/>
      </w:pPr>
      <w:r>
        <w:t>(b)</w:t>
      </w:r>
      <w:r>
        <w:tab/>
      </w:r>
      <w:proofErr w:type="gramStart"/>
      <w:r>
        <w:t>otherwise—</w:t>
      </w:r>
      <w:proofErr w:type="gramEnd"/>
      <w:r>
        <w:t xml:space="preserve">the day a </w:t>
      </w:r>
      <w:r>
        <w:t>decision notice was required to be given to the applicant.</w:t>
      </w:r>
    </w:p>
    <w:p w:rsidR="00826340" w:rsidRDefault="00077171" w:rsidP="00D01790">
      <w:pPr>
        <w:pStyle w:val="line1"/>
      </w:pPr>
      <w:r>
        <w:t>(3)</w:t>
      </w:r>
      <w:r>
        <w:tab/>
        <w:t xml:space="preserve">An appeal under </w:t>
      </w:r>
      <w:proofErr w:type="spellStart"/>
      <w:r>
        <w:t>subSection</w:t>
      </w:r>
      <w:proofErr w:type="spellEnd"/>
      <w:r>
        <w:t xml:space="preserve"> (1</w:t>
      </w:r>
      <w:proofErr w:type="gramStart"/>
      <w:r>
        <w:t>)(</w:t>
      </w:r>
      <w:proofErr w:type="gramEnd"/>
      <w:r>
        <w:t>e) may be started at any time after the last day a decision on the matter should have been made.</w:t>
      </w:r>
    </w:p>
    <w:p w:rsidR="00826340" w:rsidRPr="00C555B6" w:rsidRDefault="00077171" w:rsidP="00D01790">
      <w:pPr>
        <w:pStyle w:val="StyleprovisionsaArial8ptBold"/>
      </w:pPr>
      <w:r w:rsidRPr="00C555B6">
        <w:t>462 Appeals by submitters—general</w:t>
      </w:r>
    </w:p>
    <w:p w:rsidR="00826340" w:rsidRDefault="00077171" w:rsidP="00D01790">
      <w:pPr>
        <w:pStyle w:val="line1"/>
      </w:pPr>
      <w:r>
        <w:t>(1)</w:t>
      </w:r>
      <w:r>
        <w:tab/>
        <w:t>A submitter for a developme</w:t>
      </w:r>
      <w:r>
        <w:t>nt application may appeal to the court only against—</w:t>
      </w:r>
    </w:p>
    <w:p w:rsidR="00826340" w:rsidRDefault="00077171" w:rsidP="00D01790">
      <w:pPr>
        <w:pStyle w:val="line2"/>
      </w:pPr>
      <w:r>
        <w:t>(a)</w:t>
      </w:r>
      <w:r>
        <w:tab/>
      </w:r>
      <w:proofErr w:type="gramStart"/>
      <w:r>
        <w:t>the</w:t>
      </w:r>
      <w:proofErr w:type="gramEnd"/>
      <w:r>
        <w:t xml:space="preserve"> part of the approval relating to the assessment manager’s decision about any part of the application requiring impact assessment under Section 314; or</w:t>
      </w:r>
    </w:p>
    <w:p w:rsidR="00826340" w:rsidRDefault="00077171" w:rsidP="00D01790">
      <w:pPr>
        <w:pStyle w:val="line2"/>
      </w:pPr>
      <w:r>
        <w:t>(b)</w:t>
      </w:r>
      <w:r>
        <w:tab/>
      </w:r>
      <w:proofErr w:type="gramStart"/>
      <w:r>
        <w:t>the</w:t>
      </w:r>
      <w:proofErr w:type="gramEnd"/>
      <w:r>
        <w:t xml:space="preserve"> part of the approval relating to the</w:t>
      </w:r>
      <w:r>
        <w:t xml:space="preserve"> assessment manager’s decision under Section 327.</w:t>
      </w:r>
    </w:p>
    <w:p w:rsidR="00826340" w:rsidRDefault="00077171" w:rsidP="00D01790">
      <w:pPr>
        <w:pStyle w:val="line1"/>
      </w:pPr>
      <w:r>
        <w:t>(2)</w:t>
      </w:r>
      <w:r>
        <w:tab/>
        <w:t xml:space="preserve">To the extent an appeal may be made under </w:t>
      </w:r>
      <w:proofErr w:type="spellStart"/>
      <w:r>
        <w:t>subSection</w:t>
      </w:r>
      <w:proofErr w:type="spellEnd"/>
      <w:r>
        <w:t xml:space="preserve"> (1), the appeal may be against 1 or more of the following—</w:t>
      </w:r>
    </w:p>
    <w:p w:rsidR="00826340" w:rsidRDefault="00077171" w:rsidP="00D01790">
      <w:pPr>
        <w:pStyle w:val="line2"/>
      </w:pPr>
      <w:r>
        <w:t>(a)</w:t>
      </w:r>
      <w:r>
        <w:tab/>
      </w:r>
      <w:proofErr w:type="gramStart"/>
      <w:r>
        <w:t>the</w:t>
      </w:r>
      <w:proofErr w:type="gramEnd"/>
      <w:r>
        <w:t xml:space="preserve"> giving of a development approval;</w:t>
      </w:r>
    </w:p>
    <w:p w:rsidR="00826340" w:rsidRDefault="00077171" w:rsidP="00D01790">
      <w:pPr>
        <w:pStyle w:val="line2"/>
      </w:pPr>
      <w:r>
        <w:t>(b)</w:t>
      </w:r>
      <w:r>
        <w:tab/>
      </w:r>
      <w:proofErr w:type="gramStart"/>
      <w:r>
        <w:t>any</w:t>
      </w:r>
      <w:proofErr w:type="gramEnd"/>
      <w:r>
        <w:t xml:space="preserve"> provision of the approval including—</w:t>
      </w:r>
    </w:p>
    <w:p w:rsidR="00826340" w:rsidRDefault="00077171" w:rsidP="00D01790">
      <w:pPr>
        <w:pStyle w:val="line3"/>
        <w:jc w:val="both"/>
      </w:pPr>
      <w:r>
        <w:t>(</w:t>
      </w:r>
      <w:proofErr w:type="spellStart"/>
      <w:r>
        <w:t>i</w:t>
      </w:r>
      <w:proofErr w:type="spellEnd"/>
      <w:r>
        <w:t>)</w:t>
      </w:r>
      <w:r>
        <w:tab/>
      </w:r>
      <w:proofErr w:type="gramStart"/>
      <w:r>
        <w:t>a</w:t>
      </w:r>
      <w:proofErr w:type="gramEnd"/>
      <w:r>
        <w:t xml:space="preserve"> condition of, or lack of condition for, the approval; or</w:t>
      </w:r>
    </w:p>
    <w:p w:rsidR="00826340" w:rsidRDefault="00077171" w:rsidP="00D01790">
      <w:pPr>
        <w:pStyle w:val="line3"/>
        <w:jc w:val="both"/>
      </w:pPr>
      <w:r>
        <w:t>(ii)</w:t>
      </w:r>
      <w:r>
        <w:tab/>
      </w:r>
      <w:proofErr w:type="gramStart"/>
      <w:r>
        <w:t>the</w:t>
      </w:r>
      <w:proofErr w:type="gramEnd"/>
      <w:r>
        <w:t xml:space="preserve"> length of a period mentioned in Section 341 for the approval.</w:t>
      </w:r>
    </w:p>
    <w:p w:rsidR="00826340" w:rsidRDefault="00077171" w:rsidP="00D01790">
      <w:pPr>
        <w:pStyle w:val="line1"/>
      </w:pPr>
      <w:r>
        <w:t>(3)</w:t>
      </w:r>
      <w:r>
        <w:tab/>
        <w:t>However, a submitter may not appeal if the submitter—</w:t>
      </w:r>
    </w:p>
    <w:p w:rsidR="00826340" w:rsidRDefault="00077171" w:rsidP="00D01790">
      <w:pPr>
        <w:pStyle w:val="line2"/>
      </w:pPr>
      <w:r>
        <w:t>(a)</w:t>
      </w:r>
      <w:r>
        <w:tab/>
      </w:r>
      <w:proofErr w:type="gramStart"/>
      <w:r>
        <w:t>withdraws</w:t>
      </w:r>
      <w:proofErr w:type="gramEnd"/>
      <w:r>
        <w:t xml:space="preserve"> the submission before the application is decided; or</w:t>
      </w:r>
    </w:p>
    <w:p w:rsidR="00826340" w:rsidRDefault="00077171" w:rsidP="00D01790">
      <w:pPr>
        <w:pStyle w:val="line2"/>
      </w:pPr>
      <w:r>
        <w:t>(b)</w:t>
      </w:r>
      <w:r>
        <w:tab/>
      </w:r>
      <w:proofErr w:type="gramStart"/>
      <w:r>
        <w:t>has</w:t>
      </w:r>
      <w:proofErr w:type="gramEnd"/>
      <w:r>
        <w:t xml:space="preserve"> given the assessment manager a notice under Section 339(1)(b)(ii).</w:t>
      </w:r>
    </w:p>
    <w:p w:rsidR="00826340" w:rsidRDefault="00077171" w:rsidP="00D01790">
      <w:pPr>
        <w:pStyle w:val="line1"/>
      </w:pPr>
      <w:r>
        <w:t>(4)</w:t>
      </w:r>
      <w:r>
        <w:tab/>
        <w:t>The appeal must be started within 20 business days (the submitter’s appeal period) after the decision notice or negotiated decision notice is given to the submitter.</w:t>
      </w:r>
    </w:p>
    <w:p w:rsidR="00826340" w:rsidRPr="00C555B6" w:rsidRDefault="00077171" w:rsidP="00D01790">
      <w:pPr>
        <w:pStyle w:val="StyleprovisionsaArial8ptBold"/>
      </w:pPr>
      <w:r w:rsidRPr="00C555B6">
        <w:t>481 How app</w:t>
      </w:r>
      <w:r w:rsidRPr="00C555B6">
        <w:t>eals to the court are started</w:t>
      </w:r>
    </w:p>
    <w:p w:rsidR="00826340" w:rsidRDefault="00077171" w:rsidP="00D01790">
      <w:pPr>
        <w:pStyle w:val="line1"/>
      </w:pPr>
      <w:r>
        <w:t>(1)</w:t>
      </w:r>
      <w:r>
        <w:tab/>
        <w:t>An appeal is started by lodging written notice of appeal with the registrar of the court.</w:t>
      </w:r>
    </w:p>
    <w:p w:rsidR="00826340" w:rsidRDefault="00077171" w:rsidP="00D01790">
      <w:pPr>
        <w:pStyle w:val="line1"/>
      </w:pPr>
      <w:r>
        <w:t>(2)</w:t>
      </w:r>
      <w:r>
        <w:tab/>
        <w:t>The notice of appeal must state the grounds of the appeal.</w:t>
      </w:r>
    </w:p>
    <w:p w:rsidR="00826340" w:rsidRDefault="00077171" w:rsidP="00D01790">
      <w:pPr>
        <w:pStyle w:val="line1"/>
      </w:pPr>
      <w:r>
        <w:t>(3)</w:t>
      </w:r>
      <w:r>
        <w:tab/>
        <w:t>The person starting the appeal must also comply with the rules of</w:t>
      </w:r>
      <w:r>
        <w:t xml:space="preserve"> the court applying to the appeal.</w:t>
      </w:r>
    </w:p>
    <w:p w:rsidR="00826340" w:rsidRDefault="00077171" w:rsidP="00D01790">
      <w:pPr>
        <w:pStyle w:val="line1"/>
      </w:pPr>
      <w:r>
        <w:t>(4)</w:t>
      </w:r>
      <w:r>
        <w:tab/>
        <w:t xml:space="preserve">However, the court may hear and decide an appeal even if the person has not complied with </w:t>
      </w:r>
      <w:proofErr w:type="spellStart"/>
      <w:r>
        <w:t>subSection</w:t>
      </w:r>
      <w:proofErr w:type="spellEnd"/>
      <w:r>
        <w:t xml:space="preserve"> (3).</w:t>
      </w:r>
    </w:p>
    <w:p w:rsidR="00826340" w:rsidRDefault="00077171" w:rsidP="00D01790">
      <w:pPr>
        <w:pStyle w:val="StyleprovisionsaArial8ptBold"/>
      </w:pPr>
      <w:r>
        <w:rPr>
          <w:b w:val="0"/>
          <w:bCs w:val="0"/>
          <w:snapToGrid w:val="0"/>
        </w:rPr>
        <w:br w:type="page"/>
      </w:r>
      <w:r>
        <w:lastRenderedPageBreak/>
        <w:t>482 Notice of appeal to other parties—development applications and approvals</w:t>
      </w:r>
    </w:p>
    <w:p w:rsidR="00826340" w:rsidRDefault="00077171" w:rsidP="00D01790">
      <w:pPr>
        <w:pStyle w:val="line1"/>
      </w:pPr>
      <w:r>
        <w:t>(1)</w:t>
      </w:r>
      <w:r>
        <w:tab/>
        <w:t>An appellant under division 8</w:t>
      </w:r>
      <w:r>
        <w:t xml:space="preserve"> must give written notice of the appeal to—</w:t>
      </w:r>
    </w:p>
    <w:p w:rsidR="00826340" w:rsidRDefault="00077171" w:rsidP="00D01790">
      <w:pPr>
        <w:pStyle w:val="line2"/>
      </w:pPr>
      <w:r>
        <w:t>(a)</w:t>
      </w:r>
      <w:r>
        <w:tab/>
      </w:r>
      <w:proofErr w:type="gramStart"/>
      <w:r>
        <w:t>if</w:t>
      </w:r>
      <w:proofErr w:type="gramEnd"/>
      <w:r>
        <w:t xml:space="preserve"> the appellant is an applicant—</w:t>
      </w:r>
    </w:p>
    <w:p w:rsidR="00826340" w:rsidRDefault="00077171" w:rsidP="00D01790">
      <w:pPr>
        <w:pStyle w:val="line3"/>
        <w:jc w:val="both"/>
      </w:pPr>
      <w:r>
        <w:t>(</w:t>
      </w:r>
      <w:proofErr w:type="spellStart"/>
      <w:r>
        <w:t>i</w:t>
      </w:r>
      <w:proofErr w:type="spellEnd"/>
      <w:r>
        <w:t>)</w:t>
      </w:r>
      <w:r>
        <w:tab/>
      </w:r>
      <w:proofErr w:type="gramStart"/>
      <w:r>
        <w:t>the</w:t>
      </w:r>
      <w:proofErr w:type="gramEnd"/>
      <w:r>
        <w:t xml:space="preserve"> chief executive; and</w:t>
      </w:r>
    </w:p>
    <w:p w:rsidR="00826340" w:rsidRDefault="00077171" w:rsidP="00D01790">
      <w:pPr>
        <w:pStyle w:val="line3"/>
        <w:jc w:val="both"/>
      </w:pPr>
      <w:r>
        <w:t>(ii)</w:t>
      </w:r>
      <w:r>
        <w:tab/>
      </w:r>
      <w:proofErr w:type="gramStart"/>
      <w:r>
        <w:t>the</w:t>
      </w:r>
      <w:proofErr w:type="gramEnd"/>
      <w:r>
        <w:t xml:space="preserve"> assessment manager; and</w:t>
      </w:r>
    </w:p>
    <w:p w:rsidR="00826340" w:rsidRDefault="00077171" w:rsidP="00D01790">
      <w:pPr>
        <w:pStyle w:val="line3"/>
        <w:jc w:val="both"/>
      </w:pPr>
      <w:r>
        <w:t>(iii)</w:t>
      </w:r>
      <w:r>
        <w:tab/>
      </w:r>
      <w:proofErr w:type="gramStart"/>
      <w:r>
        <w:t>any</w:t>
      </w:r>
      <w:proofErr w:type="gramEnd"/>
      <w:r>
        <w:t xml:space="preserve"> concurrence agency; and</w:t>
      </w:r>
    </w:p>
    <w:p w:rsidR="00826340" w:rsidRDefault="00077171" w:rsidP="00D01790">
      <w:pPr>
        <w:pStyle w:val="line3"/>
        <w:jc w:val="both"/>
      </w:pPr>
      <w:r>
        <w:t>(iv)</w:t>
      </w:r>
      <w:r>
        <w:tab/>
      </w:r>
      <w:proofErr w:type="gramStart"/>
      <w:r>
        <w:t>any</w:t>
      </w:r>
      <w:proofErr w:type="gramEnd"/>
      <w:r>
        <w:t xml:space="preserve"> principal submitter whose submission has not been withdrawn; and</w:t>
      </w:r>
    </w:p>
    <w:p w:rsidR="00826340" w:rsidRDefault="00077171" w:rsidP="00D01790">
      <w:pPr>
        <w:pStyle w:val="line3"/>
        <w:jc w:val="both"/>
      </w:pPr>
      <w:r>
        <w:t>(v)</w:t>
      </w:r>
      <w:r>
        <w:tab/>
      </w:r>
      <w:proofErr w:type="gramStart"/>
      <w:r>
        <w:t>any</w:t>
      </w:r>
      <w:proofErr w:type="gramEnd"/>
      <w:r>
        <w:t xml:space="preserve"> advice agency treated as a submitter whose submission has not been withdrawn; or</w:t>
      </w:r>
    </w:p>
    <w:p w:rsidR="00826340" w:rsidRDefault="00077171" w:rsidP="00D01790">
      <w:pPr>
        <w:pStyle w:val="line2"/>
      </w:pPr>
      <w:r>
        <w:t>(b)</w:t>
      </w:r>
      <w:r>
        <w:tab/>
      </w:r>
      <w:proofErr w:type="gramStart"/>
      <w:r>
        <w:t>if</w:t>
      </w:r>
      <w:proofErr w:type="gramEnd"/>
      <w:r>
        <w:t xml:space="preserve"> the appellant is a submitter or an advice agency whose response to the development application is treated as a submission for an appeal—</w:t>
      </w:r>
    </w:p>
    <w:p w:rsidR="00826340" w:rsidRDefault="00077171" w:rsidP="00D01790">
      <w:pPr>
        <w:pStyle w:val="line3"/>
        <w:jc w:val="both"/>
      </w:pPr>
      <w:r>
        <w:t>(</w:t>
      </w:r>
      <w:proofErr w:type="spellStart"/>
      <w:r>
        <w:t>i</w:t>
      </w:r>
      <w:proofErr w:type="spellEnd"/>
      <w:r>
        <w:t>)</w:t>
      </w:r>
      <w:r>
        <w:tab/>
      </w:r>
      <w:proofErr w:type="gramStart"/>
      <w:r>
        <w:t>the</w:t>
      </w:r>
      <w:proofErr w:type="gramEnd"/>
      <w:r>
        <w:t xml:space="preserve"> chief executive; an</w:t>
      </w:r>
      <w:r>
        <w:t>d</w:t>
      </w:r>
    </w:p>
    <w:p w:rsidR="00826340" w:rsidRDefault="00077171" w:rsidP="00D01790">
      <w:pPr>
        <w:pStyle w:val="line3"/>
        <w:jc w:val="both"/>
      </w:pPr>
      <w:r>
        <w:t>(ii)</w:t>
      </w:r>
      <w:r>
        <w:tab/>
      </w:r>
      <w:proofErr w:type="gramStart"/>
      <w:r>
        <w:t>the</w:t>
      </w:r>
      <w:proofErr w:type="gramEnd"/>
      <w:r>
        <w:t xml:space="preserve"> assessment manager; and</w:t>
      </w:r>
    </w:p>
    <w:p w:rsidR="00826340" w:rsidRDefault="00077171" w:rsidP="00D01790">
      <w:pPr>
        <w:pStyle w:val="line3"/>
        <w:jc w:val="both"/>
      </w:pPr>
      <w:r>
        <w:t>(iii)</w:t>
      </w:r>
      <w:r>
        <w:tab/>
      </w:r>
      <w:proofErr w:type="gramStart"/>
      <w:r>
        <w:t>any</w:t>
      </w:r>
      <w:proofErr w:type="gramEnd"/>
      <w:r>
        <w:t xml:space="preserve"> referral agency; and</w:t>
      </w:r>
    </w:p>
    <w:p w:rsidR="00826340" w:rsidRDefault="00077171" w:rsidP="00D01790">
      <w:pPr>
        <w:pStyle w:val="line3"/>
        <w:jc w:val="both"/>
      </w:pPr>
      <w:r>
        <w:t>(iv)</w:t>
      </w:r>
      <w:r>
        <w:tab/>
      </w:r>
      <w:proofErr w:type="gramStart"/>
      <w:r>
        <w:t>the</w:t>
      </w:r>
      <w:proofErr w:type="gramEnd"/>
      <w:r>
        <w:t xml:space="preserve"> applicant; or</w:t>
      </w:r>
    </w:p>
    <w:p w:rsidR="00826340" w:rsidRDefault="00077171" w:rsidP="00D01790">
      <w:pPr>
        <w:pStyle w:val="line2"/>
      </w:pPr>
      <w:r>
        <w:t>(c)</w:t>
      </w:r>
      <w:r>
        <w:tab/>
      </w:r>
      <w:proofErr w:type="gramStart"/>
      <w:r>
        <w:t>if</w:t>
      </w:r>
      <w:proofErr w:type="gramEnd"/>
      <w:r>
        <w:t xml:space="preserve"> the appellant is a person to whom a notice mentioned in Section 465(1) has been given—</w:t>
      </w:r>
    </w:p>
    <w:p w:rsidR="00826340" w:rsidRDefault="00077171" w:rsidP="00D01790">
      <w:pPr>
        <w:pStyle w:val="line3"/>
        <w:jc w:val="both"/>
      </w:pPr>
      <w:r>
        <w:t>(</w:t>
      </w:r>
      <w:proofErr w:type="spellStart"/>
      <w:r>
        <w:t>i</w:t>
      </w:r>
      <w:proofErr w:type="spellEnd"/>
      <w:r>
        <w:t>)</w:t>
      </w:r>
      <w:r>
        <w:tab/>
      </w:r>
      <w:proofErr w:type="gramStart"/>
      <w:r>
        <w:t>the</w:t>
      </w:r>
      <w:proofErr w:type="gramEnd"/>
      <w:r>
        <w:t xml:space="preserve"> chief executive; and</w:t>
      </w:r>
    </w:p>
    <w:p w:rsidR="00826340" w:rsidRDefault="00077171" w:rsidP="00D01790">
      <w:pPr>
        <w:pStyle w:val="line3"/>
        <w:jc w:val="both"/>
      </w:pPr>
      <w:r>
        <w:t>(ii)</w:t>
      </w:r>
      <w:r>
        <w:tab/>
      </w:r>
      <w:proofErr w:type="gramStart"/>
      <w:r>
        <w:t>the</w:t>
      </w:r>
      <w:proofErr w:type="gramEnd"/>
      <w:r>
        <w:t xml:space="preserve"> assessment manager for the developm</w:t>
      </w:r>
      <w:r>
        <w:t>ent application to which the notice relates; and</w:t>
      </w:r>
    </w:p>
    <w:p w:rsidR="00826340" w:rsidRDefault="00077171" w:rsidP="00D01790">
      <w:pPr>
        <w:pStyle w:val="line3"/>
        <w:jc w:val="both"/>
      </w:pPr>
      <w:r>
        <w:t>(iii)</w:t>
      </w:r>
      <w:r>
        <w:tab/>
      </w:r>
      <w:proofErr w:type="gramStart"/>
      <w:r>
        <w:t>any</w:t>
      </w:r>
      <w:proofErr w:type="gramEnd"/>
      <w:r>
        <w:t xml:space="preserve"> entity that was a concurrence agency for the development application to which the notice relates; and</w:t>
      </w:r>
    </w:p>
    <w:p w:rsidR="00826340" w:rsidRDefault="00077171" w:rsidP="00D01790">
      <w:pPr>
        <w:pStyle w:val="line3"/>
        <w:jc w:val="both"/>
      </w:pPr>
      <w:r>
        <w:t>(iv)</w:t>
      </w:r>
      <w:r>
        <w:tab/>
      </w:r>
      <w:proofErr w:type="gramStart"/>
      <w:r>
        <w:t>the</w:t>
      </w:r>
      <w:proofErr w:type="gramEnd"/>
      <w:r>
        <w:t xml:space="preserve"> person who made the request under Section 383 to which the notice relates, if the pers</w:t>
      </w:r>
      <w:r>
        <w:t>on is not the appellant; or</w:t>
      </w:r>
    </w:p>
    <w:p w:rsidR="00826340" w:rsidRDefault="00077171" w:rsidP="00D01790">
      <w:pPr>
        <w:pStyle w:val="line2"/>
      </w:pPr>
      <w:r>
        <w:t>(d)</w:t>
      </w:r>
      <w:r>
        <w:tab/>
      </w:r>
      <w:proofErr w:type="gramStart"/>
      <w:r>
        <w:t>if</w:t>
      </w:r>
      <w:proofErr w:type="gramEnd"/>
      <w:r>
        <w:t xml:space="preserve"> the appellant is a person mentioned in Section 466(1)—</w:t>
      </w:r>
    </w:p>
    <w:p w:rsidR="00826340" w:rsidRDefault="00077171" w:rsidP="00D01790">
      <w:pPr>
        <w:pStyle w:val="line3"/>
        <w:jc w:val="both"/>
      </w:pPr>
      <w:r>
        <w:t>(</w:t>
      </w:r>
      <w:proofErr w:type="spellStart"/>
      <w:r>
        <w:t>i</w:t>
      </w:r>
      <w:proofErr w:type="spellEnd"/>
      <w:r>
        <w:t>)</w:t>
      </w:r>
      <w:r>
        <w:tab/>
      </w:r>
      <w:proofErr w:type="gramStart"/>
      <w:r>
        <w:t>the</w:t>
      </w:r>
      <w:proofErr w:type="gramEnd"/>
      <w:r>
        <w:t xml:space="preserve"> chief executive; and</w:t>
      </w:r>
    </w:p>
    <w:p w:rsidR="00826340" w:rsidRDefault="00077171" w:rsidP="00D01790">
      <w:pPr>
        <w:pStyle w:val="line3"/>
        <w:jc w:val="both"/>
      </w:pPr>
      <w:r>
        <w:t>(ii)</w:t>
      </w:r>
      <w:r>
        <w:tab/>
      </w:r>
      <w:proofErr w:type="gramStart"/>
      <w:r>
        <w:t>the</w:t>
      </w:r>
      <w:proofErr w:type="gramEnd"/>
      <w:r>
        <w:t xml:space="preserve"> responsible entity for making the change to which the appeal relates; and</w:t>
      </w:r>
    </w:p>
    <w:p w:rsidR="00826340" w:rsidRDefault="00077171" w:rsidP="00D01790">
      <w:pPr>
        <w:pStyle w:val="line3"/>
        <w:jc w:val="both"/>
      </w:pPr>
      <w:r>
        <w:t>(iii)</w:t>
      </w:r>
      <w:r>
        <w:tab/>
      </w:r>
      <w:proofErr w:type="gramStart"/>
      <w:r>
        <w:t>the</w:t>
      </w:r>
      <w:proofErr w:type="gramEnd"/>
      <w:r>
        <w:t xml:space="preserve"> person who made the request to which the app</w:t>
      </w:r>
      <w:r>
        <w:t>eal relates under Section 369, if the person is not the appellant; and</w:t>
      </w:r>
    </w:p>
    <w:p w:rsidR="00826340" w:rsidRDefault="00077171" w:rsidP="00D01790">
      <w:pPr>
        <w:pStyle w:val="line3"/>
        <w:jc w:val="both"/>
      </w:pPr>
      <w:r>
        <w:t>(iv)</w:t>
      </w:r>
      <w:r>
        <w:tab/>
      </w:r>
      <w:proofErr w:type="gramStart"/>
      <w:r>
        <w:t>if</w:t>
      </w:r>
      <w:proofErr w:type="gramEnd"/>
      <w:r>
        <w:t xml:space="preserve"> the responsible entity is the assessment manager—any entity that was a concurrence</w:t>
      </w:r>
    </w:p>
    <w:p w:rsidR="00826340" w:rsidRDefault="00077171" w:rsidP="00D01790">
      <w:pPr>
        <w:pStyle w:val="line3"/>
        <w:jc w:val="both"/>
      </w:pPr>
      <w:r>
        <w:t>(v)</w:t>
      </w:r>
      <w:r>
        <w:tab/>
      </w:r>
      <w:proofErr w:type="gramStart"/>
      <w:r>
        <w:t>agency</w:t>
      </w:r>
      <w:proofErr w:type="gramEnd"/>
      <w:r>
        <w:t xml:space="preserve"> for the development application to which the notice of the decision on the request </w:t>
      </w:r>
      <w:r>
        <w:t>relates; or</w:t>
      </w:r>
    </w:p>
    <w:p w:rsidR="00826340" w:rsidRDefault="00077171" w:rsidP="00D01790">
      <w:pPr>
        <w:pStyle w:val="line2"/>
      </w:pPr>
      <w:r>
        <w:t>(e)</w:t>
      </w:r>
      <w:r>
        <w:tab/>
      </w:r>
      <w:proofErr w:type="gramStart"/>
      <w:r>
        <w:t>if</w:t>
      </w:r>
      <w:proofErr w:type="gramEnd"/>
      <w:r>
        <w:t xml:space="preserve"> the appellant is a person to whom a notice mentioned in Section 467 has been given—the entity that gave the notice.</w:t>
      </w:r>
    </w:p>
    <w:p w:rsidR="00826340" w:rsidRDefault="00077171" w:rsidP="00D01790">
      <w:pPr>
        <w:pStyle w:val="line1"/>
      </w:pPr>
      <w:r>
        <w:t>(2)</w:t>
      </w:r>
      <w:r>
        <w:tab/>
        <w:t>The notice must be given within—</w:t>
      </w:r>
    </w:p>
    <w:p w:rsidR="00826340" w:rsidRDefault="00077171" w:rsidP="00D01790">
      <w:pPr>
        <w:pStyle w:val="line2"/>
      </w:pPr>
      <w:r>
        <w:t>(a)</w:t>
      </w:r>
      <w:r>
        <w:tab/>
        <w:t>if the appellant is a submitter or advice agency whose response to the developme</w:t>
      </w:r>
      <w:r>
        <w:t>nt application is treated as a submission for an appeal—2 business days after the appeal is started; or</w:t>
      </w:r>
    </w:p>
    <w:p w:rsidR="00826340" w:rsidRDefault="00077171" w:rsidP="00D01790">
      <w:pPr>
        <w:pStyle w:val="line2"/>
      </w:pPr>
      <w:r>
        <w:t>(b)</w:t>
      </w:r>
      <w:r>
        <w:tab/>
      </w:r>
      <w:proofErr w:type="gramStart"/>
      <w:r>
        <w:t>otherwise—</w:t>
      </w:r>
      <w:proofErr w:type="gramEnd"/>
      <w:r>
        <w:t>10 business days after the appeal is started.</w:t>
      </w:r>
    </w:p>
    <w:p w:rsidR="00826340" w:rsidRDefault="00077171" w:rsidP="00D01790">
      <w:pPr>
        <w:pStyle w:val="line1"/>
      </w:pPr>
      <w:r>
        <w:t>(3)</w:t>
      </w:r>
      <w:r>
        <w:tab/>
        <w:t>The notice must state—</w:t>
      </w:r>
    </w:p>
    <w:p w:rsidR="00826340" w:rsidRDefault="00077171" w:rsidP="00D01790">
      <w:pPr>
        <w:pStyle w:val="line2"/>
      </w:pPr>
      <w:r>
        <w:t>(a)</w:t>
      </w:r>
      <w:r>
        <w:tab/>
      </w:r>
      <w:proofErr w:type="gramStart"/>
      <w:r>
        <w:t>the</w:t>
      </w:r>
      <w:proofErr w:type="gramEnd"/>
      <w:r>
        <w:t xml:space="preserve"> grounds of the appeal; and</w:t>
      </w:r>
    </w:p>
    <w:p w:rsidR="00826340" w:rsidRDefault="00077171" w:rsidP="00D01790">
      <w:pPr>
        <w:pStyle w:val="line2"/>
      </w:pPr>
      <w:r>
        <w:t>(b)</w:t>
      </w:r>
      <w:r>
        <w:tab/>
      </w:r>
      <w:proofErr w:type="gramStart"/>
      <w:r>
        <w:t>if</w:t>
      </w:r>
      <w:proofErr w:type="gramEnd"/>
      <w:r>
        <w:t xml:space="preserve"> the person given the no</w:t>
      </w:r>
      <w:r>
        <w:t>tice is not the respondent or a co-respondent under Section 485—that the person may, within 10 business days after the notice is given, elect to become a co-respondent to the appeal by filing in the court a notice of election in the approved form.</w:t>
      </w:r>
    </w:p>
    <w:p w:rsidR="00826340" w:rsidRDefault="00077171" w:rsidP="00D01790">
      <w:pPr>
        <w:pStyle w:val="StyleprovisionsaArial8ptBold"/>
      </w:pPr>
      <w:r>
        <w:t xml:space="preserve">488 How </w:t>
      </w:r>
      <w:r>
        <w:t>an entity may elect to be a co-respondent</w:t>
      </w:r>
    </w:p>
    <w:p w:rsidR="00826340" w:rsidRPr="000A0225" w:rsidRDefault="00077171" w:rsidP="00D01790">
      <w:pPr>
        <w:jc w:val="both"/>
        <w:rPr>
          <w:sz w:val="16"/>
        </w:rPr>
      </w:pPr>
      <w:r w:rsidRPr="000A0225">
        <w:rPr>
          <w:sz w:val="16"/>
        </w:rPr>
        <w:t>An entity that is entitled to elect to be a co-respondent to an appeal may do so, within 10 business days after notice of the appeal is given to the entity, by following the rules of court for the election.</w:t>
      </w:r>
    </w:p>
    <w:p w:rsidR="00896D1E" w:rsidRDefault="00077171" w:rsidP="00D01790">
      <w:pPr>
        <w:pStyle w:val="StyleprovisionsaArial8ptBold"/>
      </w:pPr>
      <w:r>
        <w:t>FORM FO</w:t>
      </w:r>
      <w:r>
        <w:t>R THE NOTICE OF INSTITUTION OF AN APPEAL</w:t>
      </w:r>
      <w:r>
        <w:t> </w:t>
      </w:r>
    </w:p>
    <w:p w:rsidR="00826340" w:rsidRDefault="00077171" w:rsidP="00D01790">
      <w:pPr>
        <w:pStyle w:val="provisionsa"/>
        <w:keepNext/>
        <w:keepLines/>
        <w:rPr>
          <w:rFonts w:ascii="Arial" w:hAnsi="Arial"/>
          <w:sz w:val="16"/>
          <w:szCs w:val="16"/>
        </w:rPr>
      </w:pPr>
      <w:r>
        <w:rPr>
          <w:rFonts w:ascii="Arial" w:hAnsi="Arial"/>
          <w:sz w:val="16"/>
          <w:szCs w:val="16"/>
        </w:rPr>
        <w:t>An appeal must be lodged within the Planning and Environment Court Registry nearest to you within 20 business days after the day the decision notice or negotiated decision notice is given to the appellant. The noti</w:t>
      </w:r>
      <w:r>
        <w:rPr>
          <w:rFonts w:ascii="Arial" w:hAnsi="Arial"/>
          <w:sz w:val="16"/>
          <w:szCs w:val="16"/>
        </w:rPr>
        <w:t>ce must be lodged in person and must be accompanied by the prescribed fee.  The Planning and Environment Court Registry will have details of the amount.  The following form is prescribed by the Local Government Court Rules 1966 in respect of the institutio</w:t>
      </w:r>
      <w:r>
        <w:rPr>
          <w:rFonts w:ascii="Arial" w:hAnsi="Arial"/>
          <w:sz w:val="16"/>
          <w:szCs w:val="16"/>
        </w:rPr>
        <w:t>n of the appeal.</w:t>
      </w:r>
    </w:p>
    <w:p w:rsidR="00826340" w:rsidRDefault="00077171" w:rsidP="00D01790">
      <w:pPr>
        <w:pStyle w:val="provisionsa"/>
        <w:rPr>
          <w:rFonts w:ascii="Arial" w:hAnsi="Arial"/>
          <w:sz w:val="16"/>
          <w:szCs w:val="16"/>
        </w:rPr>
      </w:pPr>
      <w:r>
        <w:rPr>
          <w:rFonts w:ascii="Arial" w:hAnsi="Arial"/>
          <w:sz w:val="16"/>
          <w:szCs w:val="16"/>
        </w:rPr>
        <w:br w:type="page"/>
      </w:r>
    </w:p>
    <w:p w:rsidR="00826340" w:rsidRDefault="00077171" w:rsidP="00D01790">
      <w:pPr>
        <w:pStyle w:val="StyleprovisionsaArial8ptBold"/>
      </w:pPr>
      <w:r>
        <w:t>IN THE PLANNING and ENVIRONMENT COURT</w:t>
      </w:r>
    </w:p>
    <w:p w:rsidR="00826340" w:rsidRDefault="00077171" w:rsidP="00D01790">
      <w:pPr>
        <w:pStyle w:val="provisionsa"/>
        <w:rPr>
          <w:rFonts w:ascii="Arial" w:hAnsi="Arial"/>
          <w:sz w:val="16"/>
          <w:szCs w:val="16"/>
        </w:rPr>
      </w:pPr>
    </w:p>
    <w:p w:rsidR="00826340" w:rsidRDefault="00077171" w:rsidP="00D01790">
      <w:pPr>
        <w:pStyle w:val="provisionsa"/>
        <w:rPr>
          <w:rFonts w:ascii="Arial" w:hAnsi="Arial"/>
          <w:sz w:val="16"/>
          <w:szCs w:val="16"/>
        </w:rPr>
      </w:pP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t xml:space="preserve">Appeal No      </w:t>
      </w:r>
      <w:proofErr w:type="gramStart"/>
      <w:r>
        <w:rPr>
          <w:rFonts w:ascii="Arial" w:hAnsi="Arial"/>
          <w:sz w:val="16"/>
          <w:szCs w:val="16"/>
        </w:rPr>
        <w:t>of</w:t>
      </w:r>
      <w:r>
        <w:rPr>
          <w:rFonts w:ascii="Arial" w:hAnsi="Arial"/>
          <w:sz w:val="16"/>
          <w:szCs w:val="16"/>
        </w:rPr>
        <w:t xml:space="preserve"> </w:t>
      </w:r>
      <w:r>
        <w:rPr>
          <w:rFonts w:ascii="Arial" w:hAnsi="Arial"/>
          <w:sz w:val="16"/>
          <w:szCs w:val="16"/>
        </w:rPr>
        <w:t xml:space="preserve"> </w:t>
      </w:r>
      <w:r>
        <w:rPr>
          <w:rFonts w:ascii="Arial" w:hAnsi="Arial"/>
          <w:sz w:val="16"/>
          <w:szCs w:val="16"/>
        </w:rPr>
        <w:t>2015</w:t>
      </w:r>
      <w:proofErr w:type="gramEnd"/>
    </w:p>
    <w:p w:rsidR="00826340" w:rsidRDefault="00077171" w:rsidP="00D01790">
      <w:pPr>
        <w:pStyle w:val="provisionsa"/>
        <w:rPr>
          <w:rFonts w:ascii="Arial" w:hAnsi="Arial"/>
          <w:sz w:val="16"/>
          <w:szCs w:val="16"/>
        </w:rPr>
      </w:pPr>
    </w:p>
    <w:p w:rsidR="00826340" w:rsidRDefault="00077171" w:rsidP="00D01790">
      <w:pPr>
        <w:pStyle w:val="StyleprovisionsaArial8ptBold"/>
      </w:pPr>
      <w:r>
        <w:t>BETWEEN</w:t>
      </w:r>
    </w:p>
    <w:p w:rsidR="00826340" w:rsidRDefault="00077171" w:rsidP="00D01790">
      <w:pPr>
        <w:pStyle w:val="provisionsa"/>
        <w:rPr>
          <w:rFonts w:ascii="Arial" w:hAnsi="Arial"/>
          <w:sz w:val="16"/>
          <w:szCs w:val="16"/>
        </w:rPr>
      </w:pPr>
    </w:p>
    <w:p w:rsidR="00826340" w:rsidRDefault="00077171" w:rsidP="00D01790">
      <w:pPr>
        <w:pStyle w:val="provisionsa"/>
        <w:rPr>
          <w:rFonts w:ascii="Arial" w:hAnsi="Arial"/>
          <w:sz w:val="16"/>
          <w:szCs w:val="16"/>
        </w:rPr>
      </w:pPr>
      <w:r>
        <w:rPr>
          <w:rFonts w:ascii="Arial" w:hAnsi="Arial"/>
          <w:sz w:val="16"/>
          <w:szCs w:val="16"/>
        </w:rPr>
        <w:tab/>
      </w:r>
      <w:r>
        <w:rPr>
          <w:rFonts w:ascii="Arial" w:hAnsi="Arial"/>
          <w:sz w:val="16"/>
          <w:szCs w:val="16"/>
        </w:rPr>
        <w:tab/>
        <w:t>(</w:t>
      </w:r>
      <w:proofErr w:type="gramStart"/>
      <w:r>
        <w:rPr>
          <w:rFonts w:ascii="Arial" w:hAnsi="Arial"/>
          <w:sz w:val="16"/>
          <w:szCs w:val="16"/>
        </w:rPr>
        <w:t>here</w:t>
      </w:r>
      <w:proofErr w:type="gramEnd"/>
      <w:r>
        <w:rPr>
          <w:rFonts w:ascii="Arial" w:hAnsi="Arial"/>
          <w:sz w:val="16"/>
          <w:szCs w:val="16"/>
        </w:rPr>
        <w:t xml:space="preserve"> set out Name of Appellant)</w:t>
      </w:r>
    </w:p>
    <w:p w:rsidR="00826340" w:rsidRDefault="00077171" w:rsidP="00D01790">
      <w:pPr>
        <w:pStyle w:val="provisionsa"/>
        <w:rPr>
          <w:rFonts w:ascii="Arial" w:hAnsi="Arial"/>
          <w:sz w:val="16"/>
          <w:szCs w:val="16"/>
        </w:rPr>
      </w:pPr>
    </w:p>
    <w:p w:rsidR="00826340" w:rsidRDefault="00077171" w:rsidP="00D01790">
      <w:pPr>
        <w:pStyle w:val="StyleprovisionsaArial8ptBold"/>
      </w:pPr>
      <w:r>
        <w:tab/>
      </w:r>
      <w:r>
        <w:tab/>
      </w:r>
      <w:r>
        <w:tab/>
      </w:r>
      <w:r>
        <w:tab/>
      </w:r>
      <w:r>
        <w:tab/>
        <w:t>Appellant</w:t>
      </w:r>
    </w:p>
    <w:p w:rsidR="00826340" w:rsidRDefault="00077171" w:rsidP="00D01790">
      <w:pPr>
        <w:pStyle w:val="provisionsa"/>
        <w:rPr>
          <w:rFonts w:ascii="Arial" w:hAnsi="Arial"/>
          <w:sz w:val="16"/>
          <w:szCs w:val="16"/>
        </w:rPr>
      </w:pPr>
    </w:p>
    <w:p w:rsidR="00826340" w:rsidRDefault="00077171" w:rsidP="00D01790">
      <w:pPr>
        <w:pStyle w:val="StyleprovisionsaArial8ptBold"/>
      </w:pPr>
      <w:r>
        <w:t>AND</w:t>
      </w:r>
    </w:p>
    <w:p w:rsidR="00826340" w:rsidRDefault="00077171" w:rsidP="00D01790">
      <w:pPr>
        <w:pStyle w:val="provisionsa"/>
        <w:rPr>
          <w:rFonts w:ascii="Arial" w:hAnsi="Arial"/>
          <w:sz w:val="16"/>
          <w:szCs w:val="16"/>
        </w:rPr>
      </w:pPr>
    </w:p>
    <w:p w:rsidR="00826340" w:rsidRDefault="00077171" w:rsidP="00D01790">
      <w:pPr>
        <w:pStyle w:val="provisionsa"/>
        <w:rPr>
          <w:rFonts w:ascii="Arial" w:hAnsi="Arial"/>
          <w:sz w:val="16"/>
          <w:szCs w:val="16"/>
        </w:rPr>
      </w:pPr>
      <w:r>
        <w:rPr>
          <w:rFonts w:ascii="Arial" w:hAnsi="Arial"/>
          <w:sz w:val="16"/>
          <w:szCs w:val="16"/>
        </w:rPr>
        <w:tab/>
      </w:r>
      <w:r>
        <w:rPr>
          <w:rFonts w:ascii="Arial" w:hAnsi="Arial"/>
          <w:sz w:val="16"/>
          <w:szCs w:val="16"/>
        </w:rPr>
        <w:tab/>
        <w:t>(</w:t>
      </w:r>
      <w:proofErr w:type="gramStart"/>
      <w:r>
        <w:rPr>
          <w:rFonts w:ascii="Arial" w:hAnsi="Arial"/>
          <w:sz w:val="16"/>
          <w:szCs w:val="16"/>
        </w:rPr>
        <w:t>here</w:t>
      </w:r>
      <w:proofErr w:type="gramEnd"/>
      <w:r>
        <w:rPr>
          <w:rFonts w:ascii="Arial" w:hAnsi="Arial"/>
          <w:sz w:val="16"/>
          <w:szCs w:val="16"/>
        </w:rPr>
        <w:t xml:space="preserve"> set out Name of Respondent)</w:t>
      </w:r>
    </w:p>
    <w:p w:rsidR="00826340" w:rsidRDefault="00077171" w:rsidP="00D01790">
      <w:pPr>
        <w:pStyle w:val="provisionsa"/>
        <w:rPr>
          <w:rFonts w:ascii="Arial" w:hAnsi="Arial"/>
          <w:sz w:val="16"/>
          <w:szCs w:val="16"/>
        </w:rPr>
      </w:pPr>
    </w:p>
    <w:p w:rsidR="00826340" w:rsidRDefault="00077171" w:rsidP="00D01790">
      <w:pPr>
        <w:pStyle w:val="StyleprovisionsaArial8ptBold"/>
      </w:pPr>
      <w:r>
        <w:tab/>
      </w:r>
      <w:r>
        <w:tab/>
      </w:r>
      <w:r>
        <w:tab/>
      </w:r>
      <w:r>
        <w:tab/>
      </w:r>
      <w:r>
        <w:tab/>
        <w:t>Respondent</w:t>
      </w:r>
    </w:p>
    <w:p w:rsidR="00826340" w:rsidRDefault="00077171" w:rsidP="00D01790">
      <w:pPr>
        <w:pStyle w:val="provisionsa"/>
        <w:rPr>
          <w:rFonts w:ascii="Arial" w:hAnsi="Arial"/>
          <w:sz w:val="16"/>
          <w:szCs w:val="16"/>
        </w:rPr>
      </w:pPr>
    </w:p>
    <w:p w:rsidR="00826340" w:rsidRDefault="00077171" w:rsidP="00D01790">
      <w:pPr>
        <w:pStyle w:val="StyleprovisionsaArial8ptBold"/>
      </w:pPr>
      <w:r>
        <w:t>AND</w:t>
      </w:r>
    </w:p>
    <w:p w:rsidR="00826340" w:rsidRDefault="00077171" w:rsidP="00D01790">
      <w:pPr>
        <w:pStyle w:val="provisionsa"/>
        <w:rPr>
          <w:rFonts w:ascii="Arial" w:hAnsi="Arial"/>
          <w:sz w:val="16"/>
          <w:szCs w:val="16"/>
        </w:rPr>
      </w:pPr>
    </w:p>
    <w:p w:rsidR="00826340" w:rsidRDefault="00077171" w:rsidP="00D01790">
      <w:pPr>
        <w:pStyle w:val="provisionsa"/>
        <w:rPr>
          <w:rFonts w:ascii="Arial" w:hAnsi="Arial"/>
          <w:sz w:val="16"/>
          <w:szCs w:val="16"/>
        </w:rPr>
      </w:pPr>
      <w:r>
        <w:rPr>
          <w:rFonts w:ascii="Arial" w:hAnsi="Arial"/>
          <w:sz w:val="16"/>
          <w:szCs w:val="16"/>
        </w:rPr>
        <w:tab/>
      </w:r>
      <w:r>
        <w:rPr>
          <w:rFonts w:ascii="Arial" w:hAnsi="Arial"/>
          <w:sz w:val="16"/>
          <w:szCs w:val="16"/>
        </w:rPr>
        <w:tab/>
        <w:t>(</w:t>
      </w:r>
      <w:proofErr w:type="gramStart"/>
      <w:r>
        <w:rPr>
          <w:rFonts w:ascii="Arial" w:hAnsi="Arial"/>
          <w:sz w:val="16"/>
          <w:szCs w:val="16"/>
        </w:rPr>
        <w:t>here</w:t>
      </w:r>
      <w:proofErr w:type="gramEnd"/>
      <w:r>
        <w:rPr>
          <w:rFonts w:ascii="Arial" w:hAnsi="Arial"/>
          <w:sz w:val="16"/>
          <w:szCs w:val="16"/>
        </w:rPr>
        <w:t xml:space="preserve"> set out Name of Co - Respondent)</w:t>
      </w:r>
    </w:p>
    <w:p w:rsidR="00826340" w:rsidRDefault="00077171" w:rsidP="00D01790">
      <w:pPr>
        <w:pStyle w:val="provisionsa"/>
        <w:rPr>
          <w:rFonts w:ascii="Arial" w:hAnsi="Arial"/>
          <w:sz w:val="16"/>
          <w:szCs w:val="16"/>
        </w:rPr>
      </w:pPr>
    </w:p>
    <w:p w:rsidR="00826340" w:rsidRDefault="00077171" w:rsidP="00D01790">
      <w:pPr>
        <w:pStyle w:val="StyleprovisionsaArial8ptBold"/>
      </w:pPr>
      <w:r>
        <w:tab/>
      </w:r>
      <w:r>
        <w:tab/>
      </w:r>
      <w:r>
        <w:tab/>
      </w:r>
      <w:r>
        <w:tab/>
      </w:r>
      <w:r>
        <w:tab/>
        <w:t>Co-Respondent</w:t>
      </w:r>
    </w:p>
    <w:p w:rsidR="00826340" w:rsidRDefault="00077171" w:rsidP="00D01790">
      <w:pPr>
        <w:pStyle w:val="provisionsa"/>
        <w:rPr>
          <w:rFonts w:ascii="Arial" w:hAnsi="Arial"/>
          <w:sz w:val="16"/>
          <w:szCs w:val="16"/>
        </w:rPr>
      </w:pPr>
    </w:p>
    <w:p w:rsidR="00826340" w:rsidRDefault="00077171" w:rsidP="00D01790">
      <w:pPr>
        <w:pStyle w:val="provisionsa"/>
        <w:rPr>
          <w:rFonts w:ascii="Arial" w:hAnsi="Arial"/>
          <w:sz w:val="16"/>
          <w:szCs w:val="16"/>
        </w:rPr>
      </w:pPr>
    </w:p>
    <w:p w:rsidR="00826340" w:rsidRDefault="00077171" w:rsidP="00D01790">
      <w:pPr>
        <w:pStyle w:val="StyleprovisionsaArial8ptBold"/>
      </w:pPr>
      <w:r>
        <w:t>NOTICE OF APPEAL</w:t>
      </w:r>
    </w:p>
    <w:p w:rsidR="00826340" w:rsidRDefault="00077171" w:rsidP="00D01790">
      <w:pPr>
        <w:pStyle w:val="StyleprovisionsaArial8ptBold"/>
      </w:pPr>
      <w:r>
        <w:t>(APPELLANT’S NAME) of (APPELLANT’S ADDRESS) appeals to the Planning and Environment Court at (REGISTRY), against the decision of the Logan City Council made on (DATE OF THE DECISION) to (DESCRIPTION OF THE DECISION MAD</w:t>
      </w:r>
      <w:r>
        <w:t>E BY THE COUNCIL) and seeks the following orders of judgement.</w:t>
      </w:r>
    </w:p>
    <w:p w:rsidR="00826340" w:rsidRDefault="00077171" w:rsidP="00D01790">
      <w:pPr>
        <w:pStyle w:val="provisionsa"/>
        <w:rPr>
          <w:rFonts w:ascii="Arial" w:hAnsi="Arial"/>
          <w:sz w:val="16"/>
          <w:szCs w:val="16"/>
        </w:rPr>
      </w:pPr>
    </w:p>
    <w:p w:rsidR="00826340" w:rsidRDefault="00077171" w:rsidP="00D01790">
      <w:pPr>
        <w:pStyle w:val="provisionsa"/>
        <w:rPr>
          <w:rFonts w:ascii="Arial" w:hAnsi="Arial"/>
          <w:sz w:val="16"/>
          <w:szCs w:val="16"/>
        </w:rPr>
      </w:pPr>
      <w:r>
        <w:rPr>
          <w:rFonts w:ascii="Arial" w:hAnsi="Arial"/>
          <w:sz w:val="16"/>
          <w:szCs w:val="16"/>
        </w:rPr>
        <w:t>(INSERT DETAILS OF JUDGEMENT SOUGHT).</w:t>
      </w:r>
    </w:p>
    <w:p w:rsidR="00826340" w:rsidRDefault="00077171" w:rsidP="00D01790">
      <w:pPr>
        <w:pStyle w:val="provisionsa"/>
        <w:rPr>
          <w:rFonts w:ascii="Arial" w:hAnsi="Arial"/>
          <w:sz w:val="16"/>
          <w:szCs w:val="16"/>
        </w:rPr>
      </w:pPr>
    </w:p>
    <w:p w:rsidR="00826340" w:rsidRDefault="00077171" w:rsidP="00D01790">
      <w:pPr>
        <w:pStyle w:val="StyleprovisionsaArial8ptBold"/>
      </w:pPr>
      <w:r>
        <w:t>PARTICULARS OF THE DECISION THE SUBJECT OF THE APPEAL</w:t>
      </w:r>
    </w:p>
    <w:p w:rsidR="00826340" w:rsidRDefault="00077171" w:rsidP="00D01790">
      <w:pPr>
        <w:pStyle w:val="provisionsa"/>
        <w:rPr>
          <w:rFonts w:ascii="Arial" w:hAnsi="Arial"/>
          <w:sz w:val="16"/>
          <w:szCs w:val="16"/>
        </w:rPr>
      </w:pPr>
    </w:p>
    <w:p w:rsidR="00826340" w:rsidRDefault="00077171" w:rsidP="00D01790">
      <w:pPr>
        <w:pStyle w:val="provisionsa"/>
        <w:rPr>
          <w:rFonts w:ascii="Arial" w:hAnsi="Arial"/>
          <w:sz w:val="16"/>
          <w:szCs w:val="16"/>
        </w:rPr>
      </w:pPr>
      <w:r>
        <w:rPr>
          <w:rFonts w:ascii="Arial" w:hAnsi="Arial"/>
          <w:sz w:val="16"/>
          <w:szCs w:val="16"/>
        </w:rPr>
        <w:t>The street address of the relevant land is (INSERT ADDRESS)</w:t>
      </w:r>
    </w:p>
    <w:p w:rsidR="00826340" w:rsidRDefault="00077171" w:rsidP="00D01790">
      <w:pPr>
        <w:pStyle w:val="provisionsa"/>
        <w:rPr>
          <w:rFonts w:ascii="Arial" w:hAnsi="Arial"/>
          <w:sz w:val="16"/>
          <w:szCs w:val="16"/>
        </w:rPr>
      </w:pPr>
    </w:p>
    <w:p w:rsidR="00826340" w:rsidRDefault="00077171" w:rsidP="00D01790">
      <w:pPr>
        <w:pStyle w:val="provisionsa"/>
        <w:rPr>
          <w:rFonts w:ascii="Arial" w:hAnsi="Arial"/>
          <w:sz w:val="16"/>
          <w:szCs w:val="16"/>
        </w:rPr>
      </w:pPr>
      <w:r>
        <w:rPr>
          <w:rFonts w:ascii="Arial" w:hAnsi="Arial"/>
          <w:sz w:val="16"/>
          <w:szCs w:val="16"/>
        </w:rPr>
        <w:t>The real property description is (INS</w:t>
      </w:r>
      <w:r>
        <w:rPr>
          <w:rFonts w:ascii="Arial" w:hAnsi="Arial"/>
          <w:sz w:val="16"/>
          <w:szCs w:val="16"/>
        </w:rPr>
        <w:t>ERT DESCRIPTION)</w:t>
      </w:r>
    </w:p>
    <w:p w:rsidR="00826340" w:rsidRDefault="00077171" w:rsidP="00D01790">
      <w:pPr>
        <w:pStyle w:val="provisionsa"/>
        <w:rPr>
          <w:rFonts w:ascii="Arial" w:hAnsi="Arial"/>
          <w:sz w:val="16"/>
          <w:szCs w:val="16"/>
        </w:rPr>
      </w:pPr>
    </w:p>
    <w:p w:rsidR="00826340" w:rsidRDefault="00077171" w:rsidP="00D01790">
      <w:pPr>
        <w:pStyle w:val="provisionsa"/>
        <w:rPr>
          <w:rFonts w:ascii="Arial" w:hAnsi="Arial"/>
          <w:sz w:val="16"/>
          <w:szCs w:val="16"/>
        </w:rPr>
      </w:pPr>
      <w:r>
        <w:rPr>
          <w:rFonts w:ascii="Arial" w:hAnsi="Arial"/>
          <w:sz w:val="16"/>
          <w:szCs w:val="16"/>
        </w:rPr>
        <w:t>The decision appealed was made by the Logan City Council on the (DATE OF THE DECISION) upon application made by (NAME OF THE APPLICANT) for (description of the development sought in original application).</w:t>
      </w:r>
    </w:p>
    <w:p w:rsidR="00826340" w:rsidRDefault="00077171" w:rsidP="00D01790">
      <w:pPr>
        <w:pStyle w:val="provisionsa"/>
        <w:rPr>
          <w:rFonts w:ascii="Arial" w:hAnsi="Arial"/>
          <w:sz w:val="16"/>
          <w:szCs w:val="16"/>
        </w:rPr>
      </w:pPr>
    </w:p>
    <w:p w:rsidR="00826340" w:rsidRDefault="00077171" w:rsidP="00D01790">
      <w:pPr>
        <w:pStyle w:val="provisionsa"/>
        <w:rPr>
          <w:rFonts w:ascii="Arial" w:hAnsi="Arial"/>
          <w:sz w:val="16"/>
          <w:szCs w:val="16"/>
        </w:rPr>
      </w:pPr>
      <w:r>
        <w:rPr>
          <w:rFonts w:ascii="Arial" w:hAnsi="Arial"/>
          <w:sz w:val="16"/>
          <w:szCs w:val="16"/>
        </w:rPr>
        <w:t>The grounds of appeal are: (INSE</w:t>
      </w:r>
      <w:r>
        <w:rPr>
          <w:rFonts w:ascii="Arial" w:hAnsi="Arial"/>
          <w:sz w:val="16"/>
          <w:szCs w:val="16"/>
        </w:rPr>
        <w:t>RT GROUNDS OF APPEAL)</w:t>
      </w:r>
    </w:p>
    <w:p w:rsidR="00826340" w:rsidRDefault="00077171" w:rsidP="00D01790">
      <w:pPr>
        <w:pStyle w:val="provisionsa"/>
        <w:rPr>
          <w:rFonts w:ascii="Arial" w:hAnsi="Arial"/>
          <w:sz w:val="16"/>
          <w:szCs w:val="16"/>
        </w:rPr>
      </w:pPr>
    </w:p>
    <w:p w:rsidR="00826340" w:rsidRDefault="00077171" w:rsidP="00D01790">
      <w:pPr>
        <w:pStyle w:val="StyleprovisionsaArial8ptBold"/>
      </w:pPr>
      <w:r>
        <w:t>DATED this</w:t>
      </w:r>
      <w:r>
        <w:tab/>
      </w:r>
      <w:r>
        <w:tab/>
        <w:t>Day of</w:t>
      </w:r>
      <w:r>
        <w:tab/>
      </w:r>
      <w:r>
        <w:tab/>
      </w:r>
      <w:r>
        <w:t>2015</w:t>
      </w:r>
    </w:p>
    <w:p w:rsidR="00826340" w:rsidRDefault="00077171" w:rsidP="00D01790">
      <w:pPr>
        <w:pStyle w:val="provisionsa"/>
        <w:rPr>
          <w:rFonts w:ascii="Arial" w:hAnsi="Arial"/>
          <w:sz w:val="16"/>
          <w:szCs w:val="16"/>
        </w:rPr>
      </w:pPr>
    </w:p>
    <w:p w:rsidR="00826340" w:rsidRDefault="00077171" w:rsidP="00D01790">
      <w:pPr>
        <w:pStyle w:val="provisionsa"/>
        <w:rPr>
          <w:rFonts w:ascii="Arial" w:hAnsi="Arial"/>
          <w:sz w:val="16"/>
          <w:szCs w:val="16"/>
        </w:rPr>
      </w:pPr>
    </w:p>
    <w:p w:rsidR="00826340" w:rsidRDefault="00077171" w:rsidP="00D01790">
      <w:pPr>
        <w:pStyle w:val="provisionsa"/>
        <w:rPr>
          <w:rFonts w:ascii="Arial" w:hAnsi="Arial"/>
          <w:sz w:val="16"/>
          <w:szCs w:val="16"/>
        </w:rPr>
      </w:pPr>
      <w:r>
        <w:rPr>
          <w:rFonts w:ascii="Arial" w:hAnsi="Arial"/>
          <w:sz w:val="16"/>
          <w:szCs w:val="16"/>
        </w:rPr>
        <w:tab/>
      </w:r>
      <w:r>
        <w:rPr>
          <w:rFonts w:ascii="Arial" w:hAnsi="Arial"/>
          <w:sz w:val="16"/>
          <w:szCs w:val="16"/>
        </w:rPr>
        <w:tab/>
        <w:t>Signed:</w:t>
      </w:r>
    </w:p>
    <w:p w:rsidR="00826340" w:rsidRDefault="00077171" w:rsidP="00D01790">
      <w:pPr>
        <w:pStyle w:val="provisionsa"/>
        <w:rPr>
          <w:rFonts w:ascii="Arial" w:hAnsi="Arial"/>
          <w:sz w:val="16"/>
          <w:szCs w:val="16"/>
        </w:rPr>
      </w:pPr>
      <w:r>
        <w:rPr>
          <w:rFonts w:ascii="Arial" w:hAnsi="Arial"/>
          <w:sz w:val="16"/>
          <w:szCs w:val="16"/>
        </w:rPr>
        <w:tab/>
      </w:r>
      <w:r>
        <w:rPr>
          <w:rFonts w:ascii="Arial" w:hAnsi="Arial"/>
          <w:sz w:val="16"/>
          <w:szCs w:val="16"/>
        </w:rPr>
        <w:tab/>
        <w:t>(Appellant or solicitor or agent)</w:t>
      </w:r>
    </w:p>
    <w:p w:rsidR="00826340" w:rsidRDefault="00077171" w:rsidP="00D01790">
      <w:pPr>
        <w:pStyle w:val="provisionsa"/>
        <w:rPr>
          <w:rFonts w:ascii="Arial" w:hAnsi="Arial"/>
          <w:sz w:val="16"/>
          <w:szCs w:val="16"/>
        </w:rPr>
      </w:pPr>
    </w:p>
    <w:p w:rsidR="00826340" w:rsidRDefault="00077171" w:rsidP="00D01790">
      <w:pPr>
        <w:pStyle w:val="provisionsa"/>
        <w:rPr>
          <w:rFonts w:ascii="Arial" w:hAnsi="Arial"/>
          <w:sz w:val="16"/>
          <w:szCs w:val="16"/>
        </w:rPr>
      </w:pPr>
      <w:r>
        <w:rPr>
          <w:rFonts w:ascii="Arial" w:hAnsi="Arial"/>
          <w:sz w:val="16"/>
          <w:szCs w:val="16"/>
        </w:rPr>
        <w:t>This notice of appeal is filed by (here set out name of person filing Notice of Appeal) on behalf of the (here set out the name of Appellant), whose address fo</w:t>
      </w:r>
      <w:r>
        <w:rPr>
          <w:rFonts w:ascii="Arial" w:hAnsi="Arial"/>
          <w:sz w:val="16"/>
          <w:szCs w:val="16"/>
        </w:rPr>
        <w:t>r service is at (here set out address of service On Appellant).  It is intended to effect service of this notice of appeal on (set out name of the Respondent and the Submitters or the Applicant, as appropriate).</w:t>
      </w:r>
    </w:p>
    <w:p w:rsidR="005A12E7" w:rsidRDefault="00077171" w:rsidP="00D01790">
      <w:pPr>
        <w:pStyle w:val="provisionsa"/>
        <w:rPr>
          <w:rFonts w:ascii="Arial" w:hAnsi="Arial"/>
          <w:sz w:val="16"/>
          <w:szCs w:val="16"/>
        </w:rPr>
      </w:pPr>
    </w:p>
    <w:p w:rsidR="005A12E7" w:rsidRDefault="00077171" w:rsidP="00D01790">
      <w:pPr>
        <w:pStyle w:val="outletref"/>
        <w:jc w:val="both"/>
        <w:sectPr w:rsidR="005A12E7" w:rsidSect="00077171">
          <w:headerReference w:type="default" r:id="rId8"/>
          <w:pgSz w:w="11906" w:h="16838" w:code="9"/>
          <w:pgMar w:top="567" w:right="964" w:bottom="1418" w:left="1418" w:header="720" w:footer="720" w:gutter="0"/>
          <w:cols w:space="708"/>
          <w:titlePg/>
          <w:docGrid w:linePitch="360"/>
        </w:sectPr>
      </w:pPr>
    </w:p>
    <w:p w:rsidR="00A77B3E" w:rsidRDefault="00077171"/>
    <w:p w:rsidR="00C964A7" w:rsidRDefault="00077171" w:rsidP="00D01790">
      <w:pPr>
        <w:pStyle w:val="outletref"/>
        <w:jc w:val="both"/>
      </w:pPr>
      <w:r>
        <w:t>Enquiry Phone:</w:t>
      </w:r>
      <w:r>
        <w:tab/>
        <w:t>Customer Service (07) 3412</w:t>
      </w:r>
      <w:r>
        <w:t xml:space="preserve"> 5269</w:t>
      </w:r>
    </w:p>
    <w:p w:rsidR="007A1E52" w:rsidRDefault="00077171" w:rsidP="00D01790">
      <w:pPr>
        <w:pStyle w:val="outletref"/>
        <w:jc w:val="both"/>
      </w:pPr>
      <w:r>
        <w:t>Please Quote</w:t>
      </w:r>
      <w:r>
        <w:t>:</w:t>
      </w:r>
      <w:r>
        <w:tab/>
      </w:r>
      <w:proofErr w:type="spellStart"/>
      <w:r>
        <w:t>MCUI</w:t>
      </w:r>
      <w:proofErr w:type="spellEnd"/>
      <w:r>
        <w:t>/21/2015</w:t>
      </w:r>
    </w:p>
    <w:p w:rsidR="00C964A7" w:rsidRDefault="00077171" w:rsidP="00D01790">
      <w:pPr>
        <w:pStyle w:val="outletref"/>
        <w:jc w:val="both"/>
      </w:pPr>
      <w:r>
        <w:t>Property Key:</w:t>
      </w:r>
      <w:r>
        <w:tab/>
        <w:t>238346</w:t>
      </w:r>
    </w:p>
    <w:p w:rsidR="00E5212D" w:rsidRDefault="00077171" w:rsidP="003F3DD9">
      <w:pPr>
        <w:pStyle w:val="outletref"/>
      </w:pPr>
      <w:r>
        <w:t>File Number:</w:t>
      </w:r>
      <w:r>
        <w:tab/>
      </w:r>
      <w:r w:rsidRPr="003F3DD9">
        <w:t>945257-1</w:t>
      </w:r>
    </w:p>
    <w:p w:rsidR="00A30D8B" w:rsidRPr="001875EE" w:rsidRDefault="00077171" w:rsidP="001875EE">
      <w:pPr>
        <w:pStyle w:val="outletref"/>
        <w:rPr>
          <w:vanish/>
        </w:rPr>
      </w:pPr>
    </w:p>
    <w:p w:rsidR="00287824" w:rsidRDefault="00077171" w:rsidP="00D01790">
      <w:pPr>
        <w:pStyle w:val="outletref"/>
        <w:jc w:val="both"/>
      </w:pPr>
    </w:p>
    <w:p w:rsidR="00C964A7" w:rsidRPr="000A0225" w:rsidRDefault="00077171" w:rsidP="00D01790">
      <w:pPr>
        <w:jc w:val="both"/>
      </w:pPr>
    </w:p>
    <w:p w:rsidR="00C964A7" w:rsidRDefault="00077171" w:rsidP="00D01790">
      <w:pPr>
        <w:jc w:val="both"/>
      </w:pPr>
    </w:p>
    <w:p w:rsidR="00C964A7" w:rsidRDefault="00077171" w:rsidP="00D01790">
      <w:pPr>
        <w:jc w:val="both"/>
      </w:pPr>
    </w:p>
    <w:p w:rsidR="00C964A7" w:rsidRDefault="00077171" w:rsidP="00D01790">
      <w:pPr>
        <w:pStyle w:val="FSBCB"/>
        <w:jc w:val="both"/>
      </w:pPr>
      <w:r>
        <w:t>1301013020102230102012322102322202113</w:t>
      </w:r>
    </w:p>
    <w:p w:rsidR="00C964A7" w:rsidRDefault="00077171" w:rsidP="00D01790">
      <w:pPr>
        <w:jc w:val="both"/>
      </w:pPr>
      <w:r>
        <w:t>Chief Executive Officer</w:t>
      </w:r>
    </w:p>
    <w:p w:rsidR="00C964A7" w:rsidRDefault="00077171" w:rsidP="00D01790">
      <w:pPr>
        <w:jc w:val="both"/>
      </w:pPr>
      <w:smartTag w:uri="urn:schemas-microsoft-com:office:smarttags" w:element="PersonName">
        <w:smartTag w:uri="urn:schemas-microsoft-com:office:smarttags" w:element="City">
          <w:r>
            <w:t>Logan</w:t>
          </w:r>
        </w:smartTag>
      </w:smartTag>
      <w:r>
        <w:t xml:space="preserve"> City Council</w:t>
      </w:r>
    </w:p>
    <w:p w:rsidR="00C964A7" w:rsidRDefault="00077171" w:rsidP="00D01790">
      <w:pPr>
        <w:jc w:val="both"/>
      </w:pPr>
      <w:smartTag w:uri="urn:schemas-microsoft-com:office:smarttags" w:element="address">
        <w:smartTag w:uri="urn:schemas-microsoft-com:office:smarttags" w:element="time">
          <w:r>
            <w:t>PO Box</w:t>
          </w:r>
        </w:smartTag>
        <w:r>
          <w:t xml:space="preserve"> 3226</w:t>
        </w:r>
      </w:smartTag>
    </w:p>
    <w:p w:rsidR="00C964A7" w:rsidRDefault="00077171" w:rsidP="00D01790">
      <w:pPr>
        <w:jc w:val="both"/>
      </w:pPr>
      <w:smartTag w:uri="urn:schemas-microsoft-com:office:smarttags" w:element="PersonName">
        <w:smartTag w:uri="urn:schemas-microsoft-com:office:smarttags" w:element="City">
          <w:r>
            <w:t>LOGAN</w:t>
          </w:r>
        </w:smartTag>
      </w:smartTag>
      <w:r>
        <w:t xml:space="preserve"> </w:t>
      </w:r>
      <w:smartTag w:uri="urn:schemas-microsoft-com:office:smarttags" w:element="PlaceType">
        <w:r>
          <w:t>CITY</w:t>
        </w:r>
      </w:smartTag>
      <w:r>
        <w:t xml:space="preserve"> </w:t>
      </w:r>
      <w:proofErr w:type="gramStart"/>
      <w:r>
        <w:t>DC  QLD</w:t>
      </w:r>
      <w:proofErr w:type="gramEnd"/>
      <w:r>
        <w:t xml:space="preserve">  4114</w:t>
      </w:r>
    </w:p>
    <w:p w:rsidR="00C964A7" w:rsidRDefault="00077171" w:rsidP="00D01790">
      <w:pPr>
        <w:jc w:val="both"/>
      </w:pPr>
    </w:p>
    <w:p w:rsidR="00C964A7" w:rsidRDefault="00077171" w:rsidP="00D01790">
      <w:pPr>
        <w:jc w:val="both"/>
      </w:pPr>
    </w:p>
    <w:p w:rsidR="00C964A7" w:rsidRDefault="00077171" w:rsidP="00D01790">
      <w:pPr>
        <w:jc w:val="both"/>
      </w:pPr>
      <w:r>
        <w:t>Attention: John Gibson</w:t>
      </w:r>
    </w:p>
    <w:p w:rsidR="00C964A7" w:rsidRDefault="00077171" w:rsidP="00D01790">
      <w:pPr>
        <w:jc w:val="both"/>
      </w:pPr>
    </w:p>
    <w:p w:rsidR="00C964A7" w:rsidRDefault="00077171" w:rsidP="00D01790">
      <w:pPr>
        <w:jc w:val="both"/>
      </w:pPr>
    </w:p>
    <w:p w:rsidR="00C964A7" w:rsidRDefault="00077171" w:rsidP="00D01790">
      <w:pPr>
        <w:jc w:val="both"/>
      </w:pPr>
      <w:r>
        <w:t>De</w:t>
      </w:r>
      <w:r>
        <w:t>ar Sir/Madam</w:t>
      </w:r>
    </w:p>
    <w:p w:rsidR="00C964A7" w:rsidRDefault="00077171" w:rsidP="00D01790">
      <w:pPr>
        <w:jc w:val="both"/>
      </w:pPr>
    </w:p>
    <w:p w:rsidR="00C964A7" w:rsidRPr="0079258B" w:rsidRDefault="00077171" w:rsidP="00D01790">
      <w:pPr>
        <w:pStyle w:val="Outletsubjectnoline"/>
      </w:pPr>
      <w:r w:rsidRPr="0079258B">
        <w:t>waiver of appeal provisions</w:t>
      </w:r>
    </w:p>
    <w:tbl>
      <w:tblPr>
        <w:tblW w:w="5000" w:type="pct"/>
        <w:tblLook w:val="01E0" w:firstRow="1" w:lastRow="1" w:firstColumn="1" w:lastColumn="1" w:noHBand="0" w:noVBand="0"/>
      </w:tblPr>
      <w:tblGrid>
        <w:gridCol w:w="3201"/>
        <w:gridCol w:w="6539"/>
      </w:tblGrid>
      <w:tr w:rsidR="00C964A7" w:rsidRPr="0079258B" w:rsidTr="00896D1E">
        <w:tc>
          <w:tcPr>
            <w:tcW w:w="1643" w:type="pct"/>
            <w:shd w:val="clear" w:color="auto" w:fill="auto"/>
          </w:tcPr>
          <w:p w:rsidR="00C964A7" w:rsidRPr="0079258B" w:rsidRDefault="00077171" w:rsidP="00D01790">
            <w:pPr>
              <w:pStyle w:val="Outletsubjectnoline"/>
            </w:pPr>
            <w:r w:rsidRPr="0079258B">
              <w:t>application No:</w:t>
            </w:r>
          </w:p>
        </w:tc>
        <w:tc>
          <w:tcPr>
            <w:tcW w:w="3357" w:type="pct"/>
            <w:shd w:val="clear" w:color="auto" w:fill="auto"/>
          </w:tcPr>
          <w:p w:rsidR="00C964A7" w:rsidRPr="0079258B" w:rsidRDefault="00077171" w:rsidP="00D01790">
            <w:pPr>
              <w:pStyle w:val="Outletsubjectnoline"/>
            </w:pPr>
            <w:proofErr w:type="spellStart"/>
            <w:r w:rsidRPr="0079258B">
              <w:t>MCUI</w:t>
            </w:r>
            <w:proofErr w:type="spellEnd"/>
            <w:r w:rsidRPr="0079258B">
              <w:t>/21/2015</w:t>
            </w:r>
          </w:p>
        </w:tc>
      </w:tr>
      <w:tr w:rsidR="00C964A7" w:rsidRPr="0079258B" w:rsidTr="00896D1E">
        <w:tc>
          <w:tcPr>
            <w:tcW w:w="1643" w:type="pct"/>
            <w:shd w:val="clear" w:color="auto" w:fill="auto"/>
          </w:tcPr>
          <w:p w:rsidR="00C964A7" w:rsidRPr="0079258B" w:rsidRDefault="00077171" w:rsidP="00D01790">
            <w:pPr>
              <w:pStyle w:val="Outletsubjectnoline"/>
            </w:pPr>
            <w:r w:rsidRPr="0079258B">
              <w:t>property address:</w:t>
            </w:r>
          </w:p>
        </w:tc>
        <w:tc>
          <w:tcPr>
            <w:tcW w:w="3357" w:type="pct"/>
            <w:shd w:val="clear" w:color="auto" w:fill="auto"/>
          </w:tcPr>
          <w:p w:rsidR="00C964A7" w:rsidRPr="0079258B" w:rsidRDefault="00077171" w:rsidP="00D01790">
            <w:pPr>
              <w:pStyle w:val="Outletsubjectnoline"/>
            </w:pPr>
            <w:r w:rsidRPr="0079258B">
              <w:t>115 Compton Road, UNDERWOOD  QLD  4119</w:t>
            </w:r>
          </w:p>
        </w:tc>
      </w:tr>
      <w:tr w:rsidR="00C964A7" w:rsidRPr="0079258B" w:rsidTr="00896D1E">
        <w:tc>
          <w:tcPr>
            <w:tcW w:w="1643" w:type="pct"/>
            <w:shd w:val="clear" w:color="auto" w:fill="auto"/>
          </w:tcPr>
          <w:p w:rsidR="00C964A7" w:rsidRPr="0079258B" w:rsidRDefault="00077171" w:rsidP="00D01790">
            <w:pPr>
              <w:pStyle w:val="Outletsubjectnoline"/>
            </w:pPr>
            <w:r w:rsidRPr="0079258B">
              <w:t>property description:</w:t>
            </w:r>
          </w:p>
        </w:tc>
        <w:tc>
          <w:tcPr>
            <w:tcW w:w="3357" w:type="pct"/>
            <w:shd w:val="clear" w:color="auto" w:fill="auto"/>
          </w:tcPr>
          <w:p w:rsidR="00C964A7" w:rsidRPr="0079258B" w:rsidRDefault="00077171" w:rsidP="00D01790">
            <w:pPr>
              <w:pStyle w:val="Outletsubjectnoline"/>
            </w:pPr>
            <w:r w:rsidRPr="0079258B">
              <w:t>Lot 2 SP 145157</w:t>
            </w:r>
          </w:p>
        </w:tc>
      </w:tr>
    </w:tbl>
    <w:p w:rsidR="00C964A7" w:rsidRPr="0079258B" w:rsidRDefault="00077171" w:rsidP="00D01790">
      <w:pPr>
        <w:pStyle w:val="Outletsubjectnoline"/>
      </w:pPr>
      <w:r w:rsidRPr="0079258B">
        <w:t xml:space="preserve">APPLICATION DESCRIPTION: </w:t>
      </w:r>
    </w:p>
    <w:p w:rsidR="00C964A7" w:rsidRDefault="00077171" w:rsidP="00617C2D">
      <w:pPr>
        <w:pStyle w:val="outletsubject"/>
        <w:ind w:left="720" w:hanging="720"/>
      </w:pPr>
      <w:r>
        <w:rPr>
          <w:rFonts w:ascii="Symbol" w:hAnsi="Symbol"/>
        </w:rPr>
        <w:t></w:t>
      </w:r>
      <w:r>
        <w:tab/>
        <w:t xml:space="preserve">Material Change of Use </w:t>
      </w:r>
      <w:r>
        <w:t>- Shop (Retail Showroom), Ret</w:t>
      </w:r>
      <w:r>
        <w:t>ail Plant Nursery and Food Outlet</w:t>
      </w:r>
    </w:p>
    <w:p w:rsidR="00C964A7" w:rsidRDefault="00077171" w:rsidP="00D01790">
      <w:pPr>
        <w:jc w:val="both"/>
      </w:pPr>
    </w:p>
    <w:p w:rsidR="00826340" w:rsidRDefault="00077171" w:rsidP="00D01790">
      <w:pPr>
        <w:jc w:val="both"/>
      </w:pPr>
      <w:r>
        <w:t xml:space="preserve">In accordance with Section 337(1)(a) of the </w:t>
      </w:r>
      <w:r w:rsidRPr="00A934E4">
        <w:rPr>
          <w:i/>
        </w:rPr>
        <w:t>Sustainable Planning Act 2009</w:t>
      </w:r>
      <w:r>
        <w:t xml:space="preserve">, I, the applicant, do not intend to make representations mentioned in 361(1) of the </w:t>
      </w:r>
      <w:r w:rsidRPr="00A934E4">
        <w:rPr>
          <w:i/>
        </w:rPr>
        <w:t>Sustainable Planning Act 2009</w:t>
      </w:r>
      <w:r>
        <w:rPr>
          <w:i/>
        </w:rPr>
        <w:t xml:space="preserve"> </w:t>
      </w:r>
      <w:r>
        <w:t>regarding the decision for the ab</w:t>
      </w:r>
      <w:r>
        <w:t>ove-mentioned development application and nor do I intend to lodge an appeal with the Planning and Environment Court.</w:t>
      </w:r>
    </w:p>
    <w:p w:rsidR="00C964A7" w:rsidRDefault="00077171" w:rsidP="00D01790">
      <w:pPr>
        <w:jc w:val="both"/>
      </w:pPr>
    </w:p>
    <w:p w:rsidR="00C964A7" w:rsidRDefault="00077171" w:rsidP="00D01790">
      <w:pPr>
        <w:jc w:val="both"/>
      </w:pPr>
      <w:r>
        <w:t>Yours faithfully</w:t>
      </w:r>
    </w:p>
    <w:p w:rsidR="00C964A7" w:rsidRDefault="00077171" w:rsidP="00D01790">
      <w:pPr>
        <w:jc w:val="both"/>
      </w:pPr>
    </w:p>
    <w:p w:rsidR="00C964A7" w:rsidRDefault="00077171" w:rsidP="00D01790">
      <w:pPr>
        <w:jc w:val="both"/>
      </w:pPr>
    </w:p>
    <w:p w:rsidR="00C964A7" w:rsidRDefault="00077171" w:rsidP="00D01790">
      <w:pPr>
        <w:jc w:val="both"/>
      </w:pPr>
    </w:p>
    <w:p w:rsidR="00C964A7" w:rsidRDefault="00077171" w:rsidP="00D01790">
      <w:pPr>
        <w:jc w:val="both"/>
      </w:pPr>
    </w:p>
    <w:p w:rsidR="00C964A7" w:rsidRDefault="00077171" w:rsidP="00D01790">
      <w:pPr>
        <w:jc w:val="both"/>
      </w:pPr>
    </w:p>
    <w:tbl>
      <w:tblPr>
        <w:tblW w:w="0" w:type="auto"/>
        <w:tblLook w:val="01E0" w:firstRow="1" w:lastRow="1" w:firstColumn="1" w:lastColumn="1" w:noHBand="0" w:noVBand="0"/>
      </w:tblPr>
      <w:tblGrid>
        <w:gridCol w:w="4968"/>
      </w:tblGrid>
      <w:tr w:rsidR="00097EE2" w:rsidTr="00124E86">
        <w:tc>
          <w:tcPr>
            <w:tcW w:w="4968" w:type="dxa"/>
            <w:tcBorders>
              <w:top w:val="single" w:sz="4" w:space="0" w:color="auto"/>
            </w:tcBorders>
            <w:shd w:val="clear" w:color="auto" w:fill="auto"/>
          </w:tcPr>
          <w:p w:rsidR="00097EE2" w:rsidRDefault="00077171" w:rsidP="00D01790">
            <w:pPr>
              <w:jc w:val="both"/>
            </w:pPr>
          </w:p>
        </w:tc>
      </w:tr>
    </w:tbl>
    <w:p w:rsidR="00C964A7" w:rsidRDefault="00077171" w:rsidP="00D01790">
      <w:pPr>
        <w:jc w:val="both"/>
      </w:pPr>
    </w:p>
    <w:p w:rsidR="00097EE2" w:rsidRDefault="00077171" w:rsidP="00D01790">
      <w:pPr>
        <w:jc w:val="both"/>
      </w:pPr>
    </w:p>
    <w:p w:rsidR="00097EE2" w:rsidRDefault="00077171" w:rsidP="00D01790">
      <w:pPr>
        <w:jc w:val="both"/>
      </w:pPr>
    </w:p>
    <w:p w:rsidR="00085990" w:rsidRDefault="00077171" w:rsidP="00D01790">
      <w:pPr>
        <w:jc w:val="both"/>
      </w:pPr>
    </w:p>
    <w:p w:rsidR="00085990" w:rsidRDefault="00077171" w:rsidP="00D01790">
      <w:pPr>
        <w:jc w:val="both"/>
      </w:pPr>
    </w:p>
    <w:p w:rsidR="00097EE2" w:rsidRDefault="00077171" w:rsidP="00D01790">
      <w:pPr>
        <w:jc w:val="both"/>
      </w:pPr>
    </w:p>
    <w:tbl>
      <w:tblPr>
        <w:tblW w:w="5000" w:type="pct"/>
        <w:tblLook w:val="01E0" w:firstRow="1" w:lastRow="1" w:firstColumn="1" w:lastColumn="1" w:noHBand="0" w:noVBand="0"/>
      </w:tblPr>
      <w:tblGrid>
        <w:gridCol w:w="4872"/>
        <w:gridCol w:w="1463"/>
        <w:gridCol w:w="3405"/>
      </w:tblGrid>
      <w:tr w:rsidR="00FC07D7" w:rsidTr="00876C77">
        <w:trPr>
          <w:trHeight w:val="70"/>
        </w:trPr>
        <w:tc>
          <w:tcPr>
            <w:tcW w:w="2501" w:type="pct"/>
            <w:tcBorders>
              <w:top w:val="single" w:sz="4" w:space="0" w:color="auto"/>
            </w:tcBorders>
            <w:shd w:val="clear" w:color="auto" w:fill="auto"/>
          </w:tcPr>
          <w:p w:rsidR="00FC07D7" w:rsidRDefault="00077171" w:rsidP="00D01790">
            <w:pPr>
              <w:jc w:val="both"/>
            </w:pPr>
            <w:r>
              <w:t>Applicant’s Signature</w:t>
            </w:r>
          </w:p>
        </w:tc>
        <w:tc>
          <w:tcPr>
            <w:tcW w:w="751" w:type="pct"/>
            <w:shd w:val="clear" w:color="auto" w:fill="auto"/>
          </w:tcPr>
          <w:p w:rsidR="00FC07D7" w:rsidRDefault="00077171" w:rsidP="00D01790">
            <w:pPr>
              <w:spacing w:before="60"/>
              <w:jc w:val="both"/>
            </w:pPr>
          </w:p>
        </w:tc>
        <w:tc>
          <w:tcPr>
            <w:tcW w:w="1748" w:type="pct"/>
            <w:tcBorders>
              <w:top w:val="single" w:sz="4" w:space="0" w:color="auto"/>
            </w:tcBorders>
            <w:shd w:val="clear" w:color="auto" w:fill="auto"/>
          </w:tcPr>
          <w:p w:rsidR="00FC07D7" w:rsidRDefault="00077171" w:rsidP="00D01790">
            <w:pPr>
              <w:jc w:val="both"/>
            </w:pPr>
            <w:r>
              <w:t>Date</w:t>
            </w:r>
          </w:p>
        </w:tc>
      </w:tr>
    </w:tbl>
    <w:p w:rsidR="00023E7F" w:rsidRDefault="00077171" w:rsidP="00D01790">
      <w:pPr>
        <w:jc w:val="both"/>
      </w:pPr>
    </w:p>
    <w:p w:rsidR="00023E7F" w:rsidRDefault="00077171" w:rsidP="00D01790">
      <w:pPr>
        <w:jc w:val="both"/>
      </w:pPr>
    </w:p>
    <w:sectPr w:rsidR="00023E7F" w:rsidSect="00077171">
      <w:pgSz w:w="11906" w:h="16838" w:code="9"/>
      <w:pgMar w:top="567" w:right="964" w:bottom="1418" w:left="1418"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303A" w:rsidRDefault="00077171">
      <w:r>
        <w:separator/>
      </w:r>
    </w:p>
  </w:endnote>
  <w:endnote w:type="continuationSeparator" w:id="0">
    <w:p w:rsidR="0008303A" w:rsidRDefault="00077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FSBCB">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303A" w:rsidRDefault="00077171">
      <w:r>
        <w:separator/>
      </w:r>
    </w:p>
  </w:footnote>
  <w:footnote w:type="continuationSeparator" w:id="0">
    <w:p w:rsidR="0008303A" w:rsidRDefault="000771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C42" w:rsidRDefault="00D25C42" w:rsidP="00870F36">
    <w:pPr>
      <w:pStyle w:val="Header"/>
      <w:tabs>
        <w:tab w:val="clear" w:pos="9026"/>
        <w:tab w:val="right" w:pos="9498"/>
      </w:tabs>
    </w:pPr>
    <w:r>
      <w:t>945257-1</w:t>
    </w:r>
    <w:r>
      <w:tab/>
      <w:t xml:space="preserve">- </w:t>
    </w:r>
    <w:r>
      <w:fldChar w:fldCharType="begin"/>
    </w:r>
    <w:r>
      <w:instrText xml:space="preserve"> PAGE  \* MERGEFORMAT </w:instrText>
    </w:r>
    <w:r>
      <w:fldChar w:fldCharType="separate"/>
    </w:r>
    <w:r w:rsidR="00077171">
      <w:rPr>
        <w:noProof/>
      </w:rPr>
      <w:t>7</w:t>
    </w:r>
    <w:r>
      <w:fldChar w:fldCharType="end"/>
    </w:r>
    <w:r>
      <w:t xml:space="preserve"> -</w:t>
    </w:r>
    <w:r>
      <w:tab/>
    </w:r>
    <w:proofErr w:type="spellStart"/>
    <w:r>
      <w:t>Hydrox</w:t>
    </w:r>
    <w:proofErr w:type="spellEnd"/>
    <w:r>
      <w:t xml:space="preserve"> Nominees Pty Ltd</w:t>
    </w:r>
  </w:p>
  <w:p w:rsidR="00D25C42" w:rsidRDefault="00D25C42" w:rsidP="00D25C42">
    <w:pPr>
      <w:pStyle w:val="Header"/>
    </w:pPr>
  </w:p>
  <w:p w:rsidR="00A20582" w:rsidRDefault="00077171" w:rsidP="00D25C42">
    <w:pPr>
      <w:pStyle w:val="Header"/>
      <w:pBdr>
        <w:top w:val="single" w:sz="4" w:space="1" w:color="auto"/>
      </w:pBd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84CC7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520DB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8C77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F9ACDF2"/>
    <w:lvl w:ilvl="0">
      <w:start w:val="1"/>
      <w:numFmt w:val="decimal"/>
      <w:lvlText w:val="%1."/>
      <w:lvlJc w:val="left"/>
      <w:pPr>
        <w:tabs>
          <w:tab w:val="num" w:pos="643"/>
        </w:tabs>
        <w:ind w:left="643" w:hanging="360"/>
      </w:pPr>
    </w:lvl>
  </w:abstractNum>
  <w:abstractNum w:abstractNumId="4" w15:restartNumberingAfterBreak="0">
    <w:nsid w:val="FFFFFF81"/>
    <w:multiLevelType w:val="singleLevel"/>
    <w:tmpl w:val="F88CC8D4"/>
    <w:lvl w:ilvl="0">
      <w:start w:val="1"/>
      <w:numFmt w:val="bullet"/>
      <w:pStyle w:val="LCCIndentBullet2"/>
      <w:lvlText w:val=""/>
      <w:lvlJc w:val="left"/>
      <w:pPr>
        <w:tabs>
          <w:tab w:val="num" w:pos="1209"/>
        </w:tabs>
        <w:ind w:left="1209" w:hanging="360"/>
      </w:pPr>
      <w:rPr>
        <w:rFonts w:ascii="Symbol" w:hAnsi="Symbol" w:hint="default"/>
      </w:rPr>
    </w:lvl>
  </w:abstractNum>
  <w:abstractNum w:abstractNumId="5" w15:restartNumberingAfterBreak="0">
    <w:nsid w:val="FFFFFF88"/>
    <w:multiLevelType w:val="singleLevel"/>
    <w:tmpl w:val="3FB43FBE"/>
    <w:lvl w:ilvl="0">
      <w:start w:val="1"/>
      <w:numFmt w:val="decimal"/>
      <w:lvlText w:val="%1."/>
      <w:lvlJc w:val="left"/>
      <w:pPr>
        <w:tabs>
          <w:tab w:val="num" w:pos="360"/>
        </w:tabs>
        <w:ind w:left="360" w:hanging="360"/>
      </w:pPr>
    </w:lvl>
  </w:abstractNum>
  <w:abstractNum w:abstractNumId="6" w15:restartNumberingAfterBreak="0">
    <w:nsid w:val="031311FF"/>
    <w:multiLevelType w:val="singleLevel"/>
    <w:tmpl w:val="C188F4F2"/>
    <w:lvl w:ilvl="0">
      <w:start w:val="1"/>
      <w:numFmt w:val="bullet"/>
      <w:lvlText w:val=""/>
      <w:lvlJc w:val="left"/>
      <w:pPr>
        <w:tabs>
          <w:tab w:val="num" w:pos="1985"/>
        </w:tabs>
        <w:ind w:left="1985" w:hanging="567"/>
      </w:pPr>
      <w:rPr>
        <w:rFonts w:ascii="Symbol" w:hAnsi="Symbol" w:hint="default"/>
      </w:rPr>
    </w:lvl>
  </w:abstractNum>
  <w:abstractNum w:abstractNumId="7" w15:restartNumberingAfterBreak="0">
    <w:nsid w:val="06DF4707"/>
    <w:multiLevelType w:val="hybridMultilevel"/>
    <w:tmpl w:val="C0AC06B4"/>
    <w:lvl w:ilvl="0" w:tplc="0C09000F">
      <w:start w:val="1"/>
      <w:numFmt w:val="decimal"/>
      <w:lvlText w:val="%1."/>
      <w:lvlJc w:val="left"/>
      <w:pPr>
        <w:ind w:left="360" w:hanging="360"/>
      </w:pPr>
      <w:rPr>
        <w:rFonts w:hint="default"/>
        <w:strike w:val="0"/>
      </w:rPr>
    </w:lvl>
    <w:lvl w:ilvl="1" w:tplc="FFFFFFFF">
      <w:start w:val="1"/>
      <w:numFmt w:val="decimal"/>
      <w:lvlText w:val="%2."/>
      <w:lvlJc w:val="left"/>
      <w:pPr>
        <w:tabs>
          <w:tab w:val="num" w:pos="-828"/>
        </w:tabs>
        <w:ind w:left="-828" w:hanging="360"/>
      </w:pPr>
    </w:lvl>
    <w:lvl w:ilvl="2" w:tplc="FFFFFFFF">
      <w:start w:val="1"/>
      <w:numFmt w:val="decimal"/>
      <w:lvlText w:val="%3."/>
      <w:lvlJc w:val="left"/>
      <w:pPr>
        <w:tabs>
          <w:tab w:val="num" w:pos="-108"/>
        </w:tabs>
        <w:ind w:left="-108" w:hanging="360"/>
      </w:pPr>
    </w:lvl>
    <w:lvl w:ilvl="3" w:tplc="FFFFFFFF">
      <w:start w:val="1"/>
      <w:numFmt w:val="decimal"/>
      <w:lvlText w:val="%4."/>
      <w:lvlJc w:val="left"/>
      <w:pPr>
        <w:tabs>
          <w:tab w:val="num" w:pos="612"/>
        </w:tabs>
        <w:ind w:left="612" w:hanging="360"/>
      </w:pPr>
    </w:lvl>
    <w:lvl w:ilvl="4" w:tplc="FFFFFFFF">
      <w:start w:val="1"/>
      <w:numFmt w:val="decimal"/>
      <w:lvlText w:val="%5."/>
      <w:lvlJc w:val="left"/>
      <w:pPr>
        <w:tabs>
          <w:tab w:val="num" w:pos="1332"/>
        </w:tabs>
        <w:ind w:left="1332" w:hanging="360"/>
      </w:pPr>
    </w:lvl>
    <w:lvl w:ilvl="5" w:tplc="FFFFFFFF">
      <w:start w:val="1"/>
      <w:numFmt w:val="decimal"/>
      <w:lvlText w:val="%6."/>
      <w:lvlJc w:val="left"/>
      <w:pPr>
        <w:tabs>
          <w:tab w:val="num" w:pos="2052"/>
        </w:tabs>
        <w:ind w:left="2052" w:hanging="360"/>
      </w:pPr>
    </w:lvl>
    <w:lvl w:ilvl="6" w:tplc="FFFFFFFF">
      <w:start w:val="1"/>
      <w:numFmt w:val="decimal"/>
      <w:lvlText w:val="%7."/>
      <w:lvlJc w:val="left"/>
      <w:pPr>
        <w:tabs>
          <w:tab w:val="num" w:pos="2772"/>
        </w:tabs>
        <w:ind w:left="2772" w:hanging="360"/>
      </w:pPr>
    </w:lvl>
    <w:lvl w:ilvl="7" w:tplc="FFFFFFFF">
      <w:start w:val="1"/>
      <w:numFmt w:val="decimal"/>
      <w:lvlText w:val="%8."/>
      <w:lvlJc w:val="left"/>
      <w:pPr>
        <w:tabs>
          <w:tab w:val="num" w:pos="3492"/>
        </w:tabs>
        <w:ind w:left="3492" w:hanging="360"/>
      </w:pPr>
    </w:lvl>
    <w:lvl w:ilvl="8" w:tplc="FFFFFFFF">
      <w:start w:val="1"/>
      <w:numFmt w:val="decimal"/>
      <w:lvlText w:val="%9."/>
      <w:lvlJc w:val="left"/>
      <w:pPr>
        <w:tabs>
          <w:tab w:val="num" w:pos="4212"/>
        </w:tabs>
        <w:ind w:left="4212" w:hanging="360"/>
      </w:pPr>
    </w:lvl>
  </w:abstractNum>
  <w:abstractNum w:abstractNumId="8" w15:restartNumberingAfterBreak="0">
    <w:nsid w:val="0B376198"/>
    <w:multiLevelType w:val="multilevel"/>
    <w:tmpl w:val="0E3201DE"/>
    <w:lvl w:ilvl="0">
      <w:start w:val="1"/>
      <w:numFmt w:val="decimal"/>
      <w:lvlText w:val="%1."/>
      <w:lvlJc w:val="left"/>
      <w:pPr>
        <w:tabs>
          <w:tab w:val="num" w:pos="567"/>
        </w:tabs>
        <w:ind w:left="567" w:hanging="567"/>
      </w:pPr>
    </w:lvl>
    <w:lvl w:ilvl="1">
      <w:start w:val="1"/>
      <w:numFmt w:val="decimal"/>
      <w:lvlText w:val="%1.%2."/>
      <w:lvlJc w:val="left"/>
      <w:pPr>
        <w:tabs>
          <w:tab w:val="num" w:pos="1418"/>
        </w:tabs>
        <w:ind w:left="1418" w:hanging="851"/>
      </w:pPr>
    </w:lvl>
    <w:lvl w:ilvl="2">
      <w:start w:val="1"/>
      <w:numFmt w:val="decimal"/>
      <w:lvlText w:val="%1.%2.%3."/>
      <w:lvlJc w:val="left"/>
      <w:pPr>
        <w:tabs>
          <w:tab w:val="num" w:pos="2268"/>
        </w:tabs>
        <w:ind w:left="2268" w:hanging="850"/>
      </w:pPr>
    </w:lvl>
    <w:lvl w:ilvl="3">
      <w:start w:val="1"/>
      <w:numFmt w:val="bullet"/>
      <w:lvlText w:val=""/>
      <w:lvlJc w:val="left"/>
      <w:pPr>
        <w:tabs>
          <w:tab w:val="num" w:pos="2628"/>
        </w:tabs>
        <w:ind w:left="2552" w:hanging="284"/>
      </w:pPr>
      <w:rPr>
        <w:rFonts w:ascii="Symbol" w:hAnsi="Symbol" w:hint="default"/>
      </w:r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9" w15:restartNumberingAfterBreak="0">
    <w:nsid w:val="15174540"/>
    <w:multiLevelType w:val="hybridMultilevel"/>
    <w:tmpl w:val="EE34E348"/>
    <w:lvl w:ilvl="0" w:tplc="0C090001">
      <w:start w:val="1"/>
      <w:numFmt w:val="bullet"/>
      <w:lvlText w:val=""/>
      <w:lvlJc w:val="left"/>
      <w:pPr>
        <w:ind w:left="1429" w:hanging="360"/>
      </w:pPr>
      <w:rPr>
        <w:rFonts w:ascii="Symbol" w:hAnsi="Symbol" w:hint="default"/>
      </w:rPr>
    </w:lvl>
    <w:lvl w:ilvl="1" w:tplc="0C090003">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0" w15:restartNumberingAfterBreak="0">
    <w:nsid w:val="32D253A0"/>
    <w:multiLevelType w:val="singleLevel"/>
    <w:tmpl w:val="BBC285A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73F3A21"/>
    <w:multiLevelType w:val="singleLevel"/>
    <w:tmpl w:val="FAF42C46"/>
    <w:lvl w:ilvl="0">
      <w:start w:val="1"/>
      <w:numFmt w:val="decimal"/>
      <w:pStyle w:val="LCCListNumber"/>
      <w:lvlText w:val="%1."/>
      <w:lvlJc w:val="left"/>
      <w:pPr>
        <w:tabs>
          <w:tab w:val="num" w:pos="360"/>
        </w:tabs>
        <w:ind w:left="360" w:hanging="360"/>
      </w:pPr>
    </w:lvl>
  </w:abstractNum>
  <w:abstractNum w:abstractNumId="12" w15:restartNumberingAfterBreak="0">
    <w:nsid w:val="3A905CE1"/>
    <w:multiLevelType w:val="singleLevel"/>
    <w:tmpl w:val="AB4CFC4E"/>
    <w:lvl w:ilvl="0">
      <w:start w:val="1"/>
      <w:numFmt w:val="bullet"/>
      <w:lvlText w:val=""/>
      <w:lvlJc w:val="left"/>
      <w:pPr>
        <w:tabs>
          <w:tab w:val="num" w:pos="1134"/>
        </w:tabs>
        <w:ind w:left="1134" w:hanging="567"/>
      </w:pPr>
      <w:rPr>
        <w:rFonts w:ascii="Symbol" w:hAnsi="Symbol" w:hint="default"/>
      </w:rPr>
    </w:lvl>
  </w:abstractNum>
  <w:abstractNum w:abstractNumId="13" w15:restartNumberingAfterBreak="0">
    <w:nsid w:val="3D0C2BFE"/>
    <w:multiLevelType w:val="singleLevel"/>
    <w:tmpl w:val="CB620200"/>
    <w:lvl w:ilvl="0">
      <w:start w:val="1"/>
      <w:numFmt w:val="decimal"/>
      <w:lvlText w:val="%1."/>
      <w:lvlJc w:val="left"/>
      <w:pPr>
        <w:tabs>
          <w:tab w:val="num" w:pos="360"/>
        </w:tabs>
        <w:ind w:left="360" w:hanging="360"/>
      </w:pPr>
    </w:lvl>
  </w:abstractNum>
  <w:abstractNum w:abstractNumId="14" w15:restartNumberingAfterBreak="0">
    <w:nsid w:val="3EE64CC6"/>
    <w:multiLevelType w:val="multilevel"/>
    <w:tmpl w:val="2DCA0C0C"/>
    <w:styleLink w:val="StyleNumberedCourierNew8ptSeaGreen"/>
    <w:lvl w:ilvl="0">
      <w:start w:val="1"/>
      <w:numFmt w:val="lowerRoman"/>
      <w:lvlText w:val="(%1)"/>
      <w:lvlJc w:val="left"/>
      <w:pPr>
        <w:tabs>
          <w:tab w:val="num" w:pos="1588"/>
        </w:tabs>
        <w:ind w:left="1588" w:hanging="508"/>
      </w:pPr>
      <w:rPr>
        <w:rFonts w:ascii="Courier New" w:hAnsi="Courier New" w:hint="default"/>
        <w:color w:val="auto"/>
        <w:sz w:val="16"/>
        <w:szCs w:val="16"/>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583A7790"/>
    <w:multiLevelType w:val="hybridMultilevel"/>
    <w:tmpl w:val="F93CFFC6"/>
    <w:lvl w:ilvl="0" w:tplc="0C09000F">
      <w:start w:val="1"/>
      <w:numFmt w:val="decimal"/>
      <w:lvlText w:val="%1."/>
      <w:lvlJc w:val="left"/>
      <w:pPr>
        <w:ind w:left="927" w:hanging="360"/>
      </w:pPr>
      <w:rPr>
        <w:rFonts w:hint="default"/>
        <w:strike w:val="0"/>
      </w:rPr>
    </w:lvl>
    <w:lvl w:ilvl="1" w:tplc="0C090001">
      <w:start w:val="1"/>
      <w:numFmt w:val="bullet"/>
      <w:lvlText w:val=""/>
      <w:lvlJc w:val="left"/>
      <w:pPr>
        <w:tabs>
          <w:tab w:val="num" w:pos="-261"/>
        </w:tabs>
        <w:ind w:left="-261" w:hanging="360"/>
      </w:pPr>
      <w:rPr>
        <w:rFonts w:ascii="Symbol" w:hAnsi="Symbol" w:hint="default"/>
      </w:rPr>
    </w:lvl>
    <w:lvl w:ilvl="2" w:tplc="FFFFFFFF">
      <w:start w:val="1"/>
      <w:numFmt w:val="decimal"/>
      <w:lvlText w:val="%3."/>
      <w:lvlJc w:val="left"/>
      <w:pPr>
        <w:tabs>
          <w:tab w:val="num" w:pos="459"/>
        </w:tabs>
        <w:ind w:left="459" w:hanging="360"/>
      </w:pPr>
    </w:lvl>
    <w:lvl w:ilvl="3" w:tplc="FFFFFFFF">
      <w:start w:val="1"/>
      <w:numFmt w:val="decimal"/>
      <w:lvlText w:val="%4."/>
      <w:lvlJc w:val="left"/>
      <w:pPr>
        <w:tabs>
          <w:tab w:val="num" w:pos="1179"/>
        </w:tabs>
        <w:ind w:left="1179" w:hanging="360"/>
      </w:pPr>
    </w:lvl>
    <w:lvl w:ilvl="4" w:tplc="FFFFFFFF">
      <w:start w:val="1"/>
      <w:numFmt w:val="decimal"/>
      <w:lvlText w:val="%5."/>
      <w:lvlJc w:val="left"/>
      <w:pPr>
        <w:tabs>
          <w:tab w:val="num" w:pos="1899"/>
        </w:tabs>
        <w:ind w:left="1899" w:hanging="360"/>
      </w:pPr>
    </w:lvl>
    <w:lvl w:ilvl="5" w:tplc="FFFFFFFF">
      <w:start w:val="1"/>
      <w:numFmt w:val="decimal"/>
      <w:lvlText w:val="%6."/>
      <w:lvlJc w:val="left"/>
      <w:pPr>
        <w:tabs>
          <w:tab w:val="num" w:pos="2619"/>
        </w:tabs>
        <w:ind w:left="2619" w:hanging="360"/>
      </w:pPr>
    </w:lvl>
    <w:lvl w:ilvl="6" w:tplc="FFFFFFFF">
      <w:start w:val="1"/>
      <w:numFmt w:val="decimal"/>
      <w:lvlText w:val="%7."/>
      <w:lvlJc w:val="left"/>
      <w:pPr>
        <w:tabs>
          <w:tab w:val="num" w:pos="3339"/>
        </w:tabs>
        <w:ind w:left="3339" w:hanging="360"/>
      </w:pPr>
    </w:lvl>
    <w:lvl w:ilvl="7" w:tplc="FFFFFFFF">
      <w:start w:val="1"/>
      <w:numFmt w:val="decimal"/>
      <w:lvlText w:val="%8."/>
      <w:lvlJc w:val="left"/>
      <w:pPr>
        <w:tabs>
          <w:tab w:val="num" w:pos="4059"/>
        </w:tabs>
        <w:ind w:left="4059" w:hanging="360"/>
      </w:pPr>
    </w:lvl>
    <w:lvl w:ilvl="8" w:tplc="FFFFFFFF">
      <w:start w:val="1"/>
      <w:numFmt w:val="decimal"/>
      <w:lvlText w:val="%9."/>
      <w:lvlJc w:val="left"/>
      <w:pPr>
        <w:tabs>
          <w:tab w:val="num" w:pos="4779"/>
        </w:tabs>
        <w:ind w:left="4779" w:hanging="360"/>
      </w:pPr>
    </w:lvl>
  </w:abstractNum>
  <w:abstractNum w:abstractNumId="16" w15:restartNumberingAfterBreak="0">
    <w:nsid w:val="5BDC60B7"/>
    <w:multiLevelType w:val="multilevel"/>
    <w:tmpl w:val="98C8BD96"/>
    <w:lvl w:ilvl="0">
      <w:start w:val="1"/>
      <w:numFmt w:val="lowerLetter"/>
      <w:pStyle w:val="LCCOutlineDTP"/>
      <w:lvlText w:val="(%1)"/>
      <w:lvlJc w:val="left"/>
      <w:pPr>
        <w:tabs>
          <w:tab w:val="num" w:pos="567"/>
        </w:tabs>
        <w:ind w:left="567" w:hanging="567"/>
      </w:pPr>
    </w:lvl>
    <w:lvl w:ilvl="1">
      <w:start w:val="1"/>
      <w:numFmt w:val="lowerRoman"/>
      <w:lvlText w:val="(%2)"/>
      <w:lvlJc w:val="left"/>
      <w:pPr>
        <w:tabs>
          <w:tab w:val="num" w:pos="1287"/>
        </w:tabs>
        <w:ind w:left="1134" w:hanging="567"/>
      </w:pPr>
    </w:lvl>
    <w:lvl w:ilvl="2">
      <w:start w:val="1"/>
      <w:numFmt w:val="bullet"/>
      <w:lvlText w:val=""/>
      <w:lvlJc w:val="left"/>
      <w:pPr>
        <w:tabs>
          <w:tab w:val="num" w:pos="1559"/>
        </w:tabs>
        <w:ind w:left="1559" w:hanging="425"/>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EA35579"/>
    <w:multiLevelType w:val="hybridMultilevel"/>
    <w:tmpl w:val="A316FA9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15:restartNumberingAfterBreak="0">
    <w:nsid w:val="60323241"/>
    <w:multiLevelType w:val="multilevel"/>
    <w:tmpl w:val="3288EC64"/>
    <w:lvl w:ilvl="0">
      <w:start w:val="1"/>
      <w:numFmt w:val="lowerLetter"/>
      <w:lvlText w:val="(%1)"/>
      <w:lvlJc w:val="left"/>
      <w:pPr>
        <w:tabs>
          <w:tab w:val="num" w:pos="567"/>
        </w:tabs>
        <w:ind w:left="567" w:hanging="567"/>
      </w:pPr>
      <w:rPr>
        <w:rFonts w:hint="default"/>
      </w:rPr>
    </w:lvl>
    <w:lvl w:ilvl="1">
      <w:start w:val="1"/>
      <w:numFmt w:val="decimal"/>
      <w:lvlText w:val="%2."/>
      <w:lvlJc w:val="left"/>
      <w:pPr>
        <w:tabs>
          <w:tab w:val="num" w:pos="1030"/>
        </w:tabs>
        <w:ind w:left="1030" w:hanging="360"/>
      </w:pPr>
    </w:lvl>
    <w:lvl w:ilvl="2">
      <w:start w:val="1"/>
      <w:numFmt w:val="decimal"/>
      <w:lvlText w:val="%3."/>
      <w:lvlJc w:val="left"/>
      <w:pPr>
        <w:tabs>
          <w:tab w:val="num" w:pos="1750"/>
        </w:tabs>
        <w:ind w:left="1750" w:hanging="360"/>
      </w:pPr>
    </w:lvl>
    <w:lvl w:ilvl="3">
      <w:start w:val="1"/>
      <w:numFmt w:val="decimal"/>
      <w:lvlText w:val="%4."/>
      <w:lvlJc w:val="left"/>
      <w:pPr>
        <w:tabs>
          <w:tab w:val="num" w:pos="2470"/>
        </w:tabs>
        <w:ind w:left="2470" w:hanging="360"/>
      </w:pPr>
    </w:lvl>
    <w:lvl w:ilvl="4">
      <w:start w:val="1"/>
      <w:numFmt w:val="decimal"/>
      <w:lvlText w:val="%5."/>
      <w:lvlJc w:val="left"/>
      <w:pPr>
        <w:tabs>
          <w:tab w:val="num" w:pos="3190"/>
        </w:tabs>
        <w:ind w:left="3190" w:hanging="360"/>
      </w:pPr>
    </w:lvl>
    <w:lvl w:ilvl="5">
      <w:start w:val="1"/>
      <w:numFmt w:val="decimal"/>
      <w:lvlText w:val="%6."/>
      <w:lvlJc w:val="left"/>
      <w:pPr>
        <w:tabs>
          <w:tab w:val="num" w:pos="3910"/>
        </w:tabs>
        <w:ind w:left="3910" w:hanging="360"/>
      </w:pPr>
    </w:lvl>
    <w:lvl w:ilvl="6">
      <w:start w:val="1"/>
      <w:numFmt w:val="decimal"/>
      <w:lvlText w:val="%7."/>
      <w:lvlJc w:val="left"/>
      <w:pPr>
        <w:tabs>
          <w:tab w:val="num" w:pos="4630"/>
        </w:tabs>
        <w:ind w:left="4630" w:hanging="360"/>
      </w:pPr>
    </w:lvl>
    <w:lvl w:ilvl="7">
      <w:start w:val="1"/>
      <w:numFmt w:val="decimal"/>
      <w:lvlText w:val="%8."/>
      <w:lvlJc w:val="left"/>
      <w:pPr>
        <w:tabs>
          <w:tab w:val="num" w:pos="5350"/>
        </w:tabs>
        <w:ind w:left="5350" w:hanging="360"/>
      </w:pPr>
    </w:lvl>
    <w:lvl w:ilvl="8">
      <w:start w:val="1"/>
      <w:numFmt w:val="decimal"/>
      <w:lvlText w:val="%9."/>
      <w:lvlJc w:val="left"/>
      <w:pPr>
        <w:tabs>
          <w:tab w:val="num" w:pos="6070"/>
        </w:tabs>
        <w:ind w:left="6070" w:hanging="360"/>
      </w:pPr>
    </w:lvl>
  </w:abstractNum>
  <w:abstractNum w:abstractNumId="19" w15:restartNumberingAfterBreak="0">
    <w:nsid w:val="63FC7C0A"/>
    <w:multiLevelType w:val="singleLevel"/>
    <w:tmpl w:val="A9C2F736"/>
    <w:lvl w:ilvl="0">
      <w:start w:val="1"/>
      <w:numFmt w:val="decimal"/>
      <w:lvlText w:val="%1."/>
      <w:lvlJc w:val="left"/>
      <w:pPr>
        <w:tabs>
          <w:tab w:val="num" w:pos="1134"/>
        </w:tabs>
        <w:ind w:left="1134" w:hanging="567"/>
      </w:pPr>
    </w:lvl>
  </w:abstractNum>
  <w:abstractNum w:abstractNumId="20" w15:restartNumberingAfterBreak="0">
    <w:nsid w:val="648C15AA"/>
    <w:multiLevelType w:val="singleLevel"/>
    <w:tmpl w:val="041A993E"/>
    <w:lvl w:ilvl="0">
      <w:start w:val="1"/>
      <w:numFmt w:val="decimal"/>
      <w:lvlText w:val="%1."/>
      <w:lvlJc w:val="left"/>
      <w:pPr>
        <w:tabs>
          <w:tab w:val="num" w:pos="360"/>
        </w:tabs>
        <w:ind w:left="360" w:hanging="360"/>
      </w:pPr>
    </w:lvl>
  </w:abstractNum>
  <w:abstractNum w:abstractNumId="21" w15:restartNumberingAfterBreak="0">
    <w:nsid w:val="6ACF5C51"/>
    <w:multiLevelType w:val="multilevel"/>
    <w:tmpl w:val="EC60A1B8"/>
    <w:lvl w:ilvl="0">
      <w:start w:val="1"/>
      <w:numFmt w:val="decimal"/>
      <w:lvlText w:val="%1."/>
      <w:lvlJc w:val="left"/>
      <w:pPr>
        <w:tabs>
          <w:tab w:val="num" w:pos="567"/>
        </w:tabs>
        <w:ind w:left="567" w:hanging="567"/>
      </w:pPr>
    </w:lvl>
    <w:lvl w:ilvl="1">
      <w:start w:val="1"/>
      <w:numFmt w:val="lowerLetter"/>
      <w:lvlText w:val="%2)"/>
      <w:lvlJc w:val="left"/>
      <w:pPr>
        <w:tabs>
          <w:tab w:val="num" w:pos="1134"/>
        </w:tabs>
        <w:ind w:left="1134" w:hanging="567"/>
      </w:pPr>
    </w:lvl>
    <w:lvl w:ilvl="2">
      <w:start w:val="1"/>
      <w:numFmt w:val="lowerRoman"/>
      <w:lvlText w:val="(%3)"/>
      <w:lvlJc w:val="left"/>
      <w:pPr>
        <w:tabs>
          <w:tab w:val="num" w:pos="1843"/>
        </w:tabs>
        <w:ind w:left="1843" w:hanging="709"/>
      </w:pPr>
    </w:lvl>
    <w:lvl w:ilvl="3">
      <w:start w:val="1"/>
      <w:numFmt w:val="decimal"/>
      <w:lvlText w:val="%1.%2.%3.%4."/>
      <w:lvlJc w:val="left"/>
      <w:pPr>
        <w:tabs>
          <w:tab w:val="num" w:pos="0"/>
        </w:tabs>
        <w:ind w:left="2844" w:hanging="708"/>
      </w:pPr>
    </w:lvl>
    <w:lvl w:ilvl="4">
      <w:start w:val="1"/>
      <w:numFmt w:val="decimal"/>
      <w:lvlText w:val="%1.%2.%3.%4.%5."/>
      <w:lvlJc w:val="left"/>
      <w:pPr>
        <w:tabs>
          <w:tab w:val="num" w:pos="0"/>
        </w:tabs>
        <w:ind w:left="3552" w:hanging="708"/>
      </w:pPr>
    </w:lvl>
    <w:lvl w:ilvl="5">
      <w:start w:val="1"/>
      <w:numFmt w:val="decimal"/>
      <w:lvlText w:val="%1.%2.%3.%4.%5.%6."/>
      <w:lvlJc w:val="left"/>
      <w:pPr>
        <w:tabs>
          <w:tab w:val="num" w:pos="0"/>
        </w:tabs>
        <w:ind w:left="4260" w:hanging="708"/>
      </w:pPr>
    </w:lvl>
    <w:lvl w:ilvl="6">
      <w:start w:val="1"/>
      <w:numFmt w:val="decimal"/>
      <w:lvlText w:val="%1.%2.%3.%4.%5.%6.%7."/>
      <w:lvlJc w:val="left"/>
      <w:pPr>
        <w:tabs>
          <w:tab w:val="num" w:pos="0"/>
        </w:tabs>
        <w:ind w:left="4968" w:hanging="708"/>
      </w:pPr>
    </w:lvl>
    <w:lvl w:ilvl="7">
      <w:start w:val="1"/>
      <w:numFmt w:val="decimal"/>
      <w:lvlText w:val="%1.%2.%3.%4.%5.%6.%7.%8."/>
      <w:lvlJc w:val="left"/>
      <w:pPr>
        <w:tabs>
          <w:tab w:val="num" w:pos="0"/>
        </w:tabs>
        <w:ind w:left="5676" w:hanging="708"/>
      </w:pPr>
    </w:lvl>
    <w:lvl w:ilvl="8">
      <w:start w:val="1"/>
      <w:numFmt w:val="decimal"/>
      <w:lvlText w:val="%1.%2.%3.%4.%5.%6.%7.%8.%9."/>
      <w:lvlJc w:val="left"/>
      <w:pPr>
        <w:tabs>
          <w:tab w:val="num" w:pos="0"/>
        </w:tabs>
        <w:ind w:left="6384" w:hanging="708"/>
      </w:pPr>
    </w:lvl>
  </w:abstractNum>
  <w:abstractNum w:abstractNumId="22" w15:restartNumberingAfterBreak="0">
    <w:nsid w:val="72975BA9"/>
    <w:multiLevelType w:val="hybridMultilevel"/>
    <w:tmpl w:val="3E1AFC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54A6B9C"/>
    <w:multiLevelType w:val="singleLevel"/>
    <w:tmpl w:val="07C6B490"/>
    <w:lvl w:ilvl="0">
      <w:start w:val="1"/>
      <w:numFmt w:val="decimal"/>
      <w:pStyle w:val="LCCNumber"/>
      <w:lvlText w:val="%1."/>
      <w:lvlJc w:val="left"/>
      <w:pPr>
        <w:tabs>
          <w:tab w:val="num" w:pos="360"/>
        </w:tabs>
        <w:ind w:left="360" w:hanging="360"/>
      </w:pPr>
    </w:lvl>
  </w:abstractNum>
  <w:abstractNum w:abstractNumId="24" w15:restartNumberingAfterBreak="0">
    <w:nsid w:val="7CB339E2"/>
    <w:multiLevelType w:val="multilevel"/>
    <w:tmpl w:val="04462EB8"/>
    <w:lvl w:ilvl="0">
      <w:start w:val="1"/>
      <w:numFmt w:val="decimal"/>
      <w:pStyle w:val="ListNumber"/>
      <w:lvlText w:val="%1."/>
      <w:lvlJc w:val="left"/>
      <w:pPr>
        <w:tabs>
          <w:tab w:val="num" w:pos="567"/>
        </w:tabs>
        <w:ind w:left="567" w:hanging="567"/>
      </w:pPr>
      <w:rPr>
        <w:rFonts w:hint="default"/>
      </w:rPr>
    </w:lvl>
    <w:lvl w:ilvl="1">
      <w:start w:val="1"/>
      <w:numFmt w:val="decimal"/>
      <w:pStyle w:val="ListNumber2"/>
      <w:lvlText w:val="%1.%2."/>
      <w:lvlJc w:val="left"/>
      <w:pPr>
        <w:tabs>
          <w:tab w:val="num" w:pos="1418"/>
        </w:tabs>
        <w:ind w:left="1418" w:hanging="851"/>
      </w:pPr>
      <w:rPr>
        <w:rFonts w:hint="default"/>
      </w:rPr>
    </w:lvl>
    <w:lvl w:ilvl="2">
      <w:start w:val="1"/>
      <w:numFmt w:val="decimal"/>
      <w:pStyle w:val="ListNumber3"/>
      <w:lvlText w:val="%1.%2.%3."/>
      <w:lvlJc w:val="left"/>
      <w:pPr>
        <w:tabs>
          <w:tab w:val="num" w:pos="2268"/>
        </w:tabs>
        <w:ind w:left="2268" w:hanging="850"/>
      </w:pPr>
      <w:rPr>
        <w:rFonts w:hint="default"/>
      </w:rPr>
    </w:lvl>
    <w:lvl w:ilvl="3">
      <w:start w:val="1"/>
      <w:numFmt w:val="decimal"/>
      <w:pStyle w:val="ListNumber4"/>
      <w:lvlText w:val="%1.%2.%3.%4."/>
      <w:lvlJc w:val="left"/>
      <w:pPr>
        <w:tabs>
          <w:tab w:val="num" w:pos="3119"/>
        </w:tabs>
        <w:ind w:left="3119" w:hanging="851"/>
      </w:pPr>
      <w:rPr>
        <w:rFonts w:hint="default"/>
        <w:color w:val="auto"/>
      </w:rPr>
    </w:lvl>
    <w:lvl w:ilvl="4">
      <w:start w:val="1"/>
      <w:numFmt w:val="decimal"/>
      <w:pStyle w:val="ListNumber5"/>
      <w:lvlText w:val="%1.%2.%3.%4.%5"/>
      <w:lvlJc w:val="left"/>
      <w:pPr>
        <w:tabs>
          <w:tab w:val="num" w:pos="3827"/>
        </w:tabs>
        <w:ind w:left="3827" w:hanging="708"/>
      </w:pPr>
      <w:rPr>
        <w:rFonts w:hint="default"/>
        <w:color w:val="auto"/>
      </w:rPr>
    </w:lvl>
    <w:lvl w:ilvl="5">
      <w:start w:val="1"/>
      <w:numFmt w:val="none"/>
      <w:lvlText w:val=""/>
      <w:lvlJc w:val="left"/>
      <w:pPr>
        <w:tabs>
          <w:tab w:val="num" w:pos="5040"/>
        </w:tabs>
        <w:ind w:left="2736" w:hanging="936"/>
      </w:pPr>
      <w:rPr>
        <w:rFonts w:hint="default"/>
      </w:rPr>
    </w:lvl>
    <w:lvl w:ilvl="6">
      <w:start w:val="1"/>
      <w:numFmt w:val="none"/>
      <w:lvlText w:val=""/>
      <w:lvlJc w:val="left"/>
      <w:pPr>
        <w:tabs>
          <w:tab w:val="num" w:pos="5760"/>
        </w:tabs>
        <w:ind w:left="3240" w:hanging="1080"/>
      </w:pPr>
      <w:rPr>
        <w:rFonts w:hint="default"/>
      </w:rPr>
    </w:lvl>
    <w:lvl w:ilvl="7">
      <w:start w:val="1"/>
      <w:numFmt w:val="none"/>
      <w:lvlText w:val=""/>
      <w:lvlJc w:val="left"/>
      <w:pPr>
        <w:tabs>
          <w:tab w:val="num" w:pos="6840"/>
        </w:tabs>
        <w:ind w:left="3744" w:hanging="1224"/>
      </w:pPr>
      <w:rPr>
        <w:rFonts w:hint="default"/>
      </w:rPr>
    </w:lvl>
    <w:lvl w:ilvl="8">
      <w:start w:val="1"/>
      <w:numFmt w:val="none"/>
      <w:lvlText w:val=""/>
      <w:lvlJc w:val="left"/>
      <w:pPr>
        <w:tabs>
          <w:tab w:val="num" w:pos="7560"/>
        </w:tabs>
        <w:ind w:left="4320" w:hanging="1440"/>
      </w:pPr>
      <w:rPr>
        <w:rFonts w:hint="default"/>
      </w:rPr>
    </w:lvl>
  </w:abstractNum>
  <w:abstractNum w:abstractNumId="25" w15:restartNumberingAfterBreak="0">
    <w:nsid w:val="7FF77D30"/>
    <w:multiLevelType w:val="singleLevel"/>
    <w:tmpl w:val="192054F6"/>
    <w:lvl w:ilvl="0">
      <w:start w:val="1"/>
      <w:numFmt w:val="bullet"/>
      <w:lvlText w:val=""/>
      <w:lvlJc w:val="left"/>
      <w:pPr>
        <w:tabs>
          <w:tab w:val="num" w:pos="357"/>
        </w:tabs>
        <w:ind w:left="357" w:hanging="357"/>
      </w:pPr>
      <w:rPr>
        <w:rFonts w:ascii="Symbol" w:hAnsi="Symbol" w:hint="default"/>
      </w:rPr>
    </w:lvl>
  </w:abstractNum>
  <w:num w:numId="1">
    <w:abstractNumId w:val="4"/>
  </w:num>
  <w:num w:numId="2">
    <w:abstractNumId w:val="25"/>
  </w:num>
  <w:num w:numId="3">
    <w:abstractNumId w:val="10"/>
  </w:num>
  <w:num w:numId="4">
    <w:abstractNumId w:val="21"/>
  </w:num>
  <w:num w:numId="5">
    <w:abstractNumId w:val="12"/>
  </w:num>
  <w:num w:numId="6">
    <w:abstractNumId w:val="6"/>
  </w:num>
  <w:num w:numId="7">
    <w:abstractNumId w:val="19"/>
  </w:num>
  <w:num w:numId="8">
    <w:abstractNumId w:val="11"/>
  </w:num>
  <w:num w:numId="9">
    <w:abstractNumId w:val="23"/>
  </w:num>
  <w:num w:numId="10">
    <w:abstractNumId w:val="16"/>
  </w:num>
  <w:num w:numId="11">
    <w:abstractNumId w:val="13"/>
  </w:num>
  <w:num w:numId="12">
    <w:abstractNumId w:val="8"/>
  </w:num>
  <w:num w:numId="13">
    <w:abstractNumId w:val="20"/>
  </w:num>
  <w:num w:numId="14">
    <w:abstractNumId w:val="24"/>
  </w:num>
  <w:num w:numId="15">
    <w:abstractNumId w:val="14"/>
  </w:num>
  <w:num w:numId="16">
    <w:abstractNumId w:val="18"/>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3"/>
  </w:num>
  <w:num w:numId="20">
    <w:abstractNumId w:val="2"/>
  </w:num>
  <w:num w:numId="21">
    <w:abstractNumId w:val="1"/>
  </w:num>
  <w:num w:numId="22">
    <w:abstractNumId w:val="0"/>
  </w:num>
  <w:num w:numId="23">
    <w:abstractNumId w:val="17"/>
  </w:num>
  <w:num w:numId="24">
    <w:abstractNumId w:val="23"/>
  </w:num>
  <w:num w:numId="25">
    <w:abstractNumId w:val="23"/>
    <w:lvlOverride w:ilvl="0">
      <w:startOverride w:val="1"/>
    </w:lvlOverride>
  </w:num>
  <w:num w:numId="26">
    <w:abstractNumId w:val="23"/>
    <w:lvlOverride w:ilvl="0">
      <w:startOverride w:val="1"/>
    </w:lvlOverride>
  </w:num>
  <w:num w:numId="27">
    <w:abstractNumId w:val="22"/>
  </w:num>
  <w:num w:numId="28">
    <w:abstractNumId w:val="7"/>
  </w:num>
  <w:num w:numId="29">
    <w:abstractNumId w:val="9"/>
  </w:num>
  <w:num w:numId="30">
    <w:abstractNumId w:val="15"/>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708" w:allStyles="0" w:customStyles="0" w:latentStyles="0" w:stylesInUse="1" w:headingStyles="0" w:numberingStyles="0" w:tableStyles="0" w:directFormattingOnRuns="1" w:directFormattingOnParagraphs="1" w:directFormattingOnNumbering="1" w:directFormattingOnTables="0" w:clearFormatting="1" w:top3HeadingStyles="1" w:visibleStyles="0" w:alternateStyleNames="0"/>
  <w:stylePaneSortMethod w:val="000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PathwaySessionID" w:val="6608"/>
  </w:docVars>
  <w:rsids>
    <w:rsidRoot w:val="00BD0D77"/>
    <w:rsid w:val="00077171"/>
    <w:rsid w:val="005D5AFD"/>
    <w:rsid w:val="00617C2D"/>
    <w:rsid w:val="00870F36"/>
    <w:rsid w:val="00BC6E45"/>
    <w:rsid w:val="00C12D5C"/>
    <w:rsid w:val="00D25C42"/>
    <w:rsid w:val="00EC17AF"/>
    <w:rsid w:val="00EC40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ity"/>
  <w:smartTagType w:namespaceuri="urn:schemas-microsoft-com:office:smarttags" w:name="address"/>
  <w:smartTagType w:namespaceuri="urn:schemas-microsoft-com:office:smarttags" w:name="ti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CC25E983-FC56-4C96-B5C0-F6357D454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Number"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0E04"/>
    <w:rPr>
      <w:rFonts w:ascii="Arial" w:hAnsi="Arial"/>
      <w:lang w:eastAsia="en-US"/>
    </w:rPr>
  </w:style>
  <w:style w:type="paragraph" w:styleId="Heading1">
    <w:name w:val="heading 1"/>
    <w:basedOn w:val="Normal"/>
    <w:next w:val="Normal"/>
    <w:qFormat/>
    <w:rsid w:val="006A4666"/>
    <w:pPr>
      <w:keepNext/>
      <w:spacing w:before="60" w:after="160"/>
      <w:ind w:left="850"/>
      <w:outlineLvl w:val="0"/>
    </w:pPr>
    <w:rPr>
      <w:rFonts w:ascii="Book Antiqua" w:hAnsi="Book Antiqua"/>
      <w:b/>
      <w:caps/>
      <w:kern w:val="28"/>
    </w:rPr>
  </w:style>
  <w:style w:type="paragraph" w:styleId="Heading3">
    <w:name w:val="heading 3"/>
    <w:basedOn w:val="Normal"/>
    <w:next w:val="Normal"/>
    <w:qFormat/>
    <w:rsid w:val="00826340"/>
    <w:pPr>
      <w:keepNext/>
      <w:spacing w:before="240" w:after="60"/>
      <w:outlineLvl w:val="2"/>
    </w:pPr>
    <w:rPr>
      <w:rFonts w:cs="Arial"/>
      <w:b/>
      <w:bCs/>
      <w:sz w:val="26"/>
      <w:szCs w:val="26"/>
    </w:rPr>
  </w:style>
  <w:style w:type="character" w:default="1" w:styleId="DefaultParagraphFont">
    <w:name w:val="Default Paragraph Font"/>
    <w:uiPriority w:val="1"/>
    <w:unhideWhenUsed/>
    <w:rsid w:val="00ED0E04"/>
  </w:style>
  <w:style w:type="table" w:default="1" w:styleId="TableNormal">
    <w:name w:val="Normal Table"/>
    <w:semiHidden/>
    <w:rsid w:val="00565F72"/>
    <w:tblPr>
      <w:tblInd w:w="0" w:type="dxa"/>
      <w:tblCellMar>
        <w:top w:w="0" w:type="dxa"/>
        <w:left w:w="108" w:type="dxa"/>
        <w:bottom w:w="0" w:type="dxa"/>
        <w:right w:w="108" w:type="dxa"/>
      </w:tblCellMar>
    </w:tblPr>
  </w:style>
  <w:style w:type="numbering" w:default="1" w:styleId="NoList">
    <w:name w:val="No List"/>
    <w:uiPriority w:val="99"/>
    <w:semiHidden/>
    <w:unhideWhenUsed/>
    <w:rsid w:val="00ED0E04"/>
  </w:style>
  <w:style w:type="paragraph" w:customStyle="1" w:styleId="FSBCB">
    <w:name w:val="FSBCB"/>
    <w:next w:val="Normal"/>
    <w:autoRedefine/>
    <w:rsid w:val="006E1D7B"/>
    <w:pPr>
      <w:spacing w:after="80"/>
    </w:pPr>
    <w:rPr>
      <w:rFonts w:ascii="FSBCB" w:hAnsi="FSBCB" w:cs="Arial"/>
      <w:sz w:val="36"/>
      <w:szCs w:val="36"/>
      <w:lang w:eastAsia="en-US"/>
    </w:rPr>
  </w:style>
  <w:style w:type="paragraph" w:styleId="Header">
    <w:name w:val="header"/>
    <w:basedOn w:val="Normal"/>
    <w:link w:val="HeaderChar"/>
    <w:unhideWhenUsed/>
    <w:rsid w:val="00ED0E04"/>
    <w:pPr>
      <w:tabs>
        <w:tab w:val="center" w:pos="4513"/>
        <w:tab w:val="right" w:pos="9026"/>
      </w:tabs>
    </w:pPr>
  </w:style>
  <w:style w:type="paragraph" w:styleId="Footer">
    <w:name w:val="footer"/>
    <w:basedOn w:val="Normal"/>
    <w:rsid w:val="00565F72"/>
    <w:pPr>
      <w:tabs>
        <w:tab w:val="center" w:pos="4320"/>
        <w:tab w:val="right" w:pos="8640"/>
      </w:tabs>
    </w:pPr>
  </w:style>
  <w:style w:type="character" w:styleId="Hyperlink">
    <w:name w:val="Hyperlink"/>
    <w:rsid w:val="006A4666"/>
    <w:rPr>
      <w:color w:val="0000FF"/>
      <w:u w:val="single"/>
    </w:rPr>
  </w:style>
  <w:style w:type="paragraph" w:customStyle="1" w:styleId="LCCBullet1">
    <w:name w:val="LCCBullet1"/>
    <w:basedOn w:val="Normal"/>
    <w:rsid w:val="00ED0E04"/>
    <w:pPr>
      <w:tabs>
        <w:tab w:val="left" w:pos="567"/>
        <w:tab w:val="left" w:pos="1134"/>
        <w:tab w:val="left" w:pos="1701"/>
      </w:tabs>
      <w:spacing w:before="120" w:line="260" w:lineRule="atLeast"/>
      <w:jc w:val="both"/>
    </w:pPr>
    <w:rPr>
      <w:lang w:eastAsia="en-AU"/>
    </w:rPr>
  </w:style>
  <w:style w:type="character" w:customStyle="1" w:styleId="LCCHeadingChar">
    <w:name w:val="LCCHeading Char"/>
    <w:link w:val="LCCHeading"/>
    <w:rsid w:val="00265FD7"/>
    <w:rPr>
      <w:rFonts w:ascii="Arial" w:hAnsi="Arial"/>
      <w:b/>
      <w:caps/>
    </w:rPr>
  </w:style>
  <w:style w:type="paragraph" w:customStyle="1" w:styleId="LCCHeading">
    <w:name w:val="LCCHeading"/>
    <w:basedOn w:val="Normal"/>
    <w:next w:val="Normal"/>
    <w:link w:val="LCCHeadingChar"/>
    <w:rsid w:val="00ED0E04"/>
    <w:pPr>
      <w:keepNext/>
      <w:tabs>
        <w:tab w:val="left" w:pos="567"/>
        <w:tab w:val="left" w:pos="1134"/>
        <w:tab w:val="left" w:pos="1701"/>
      </w:tabs>
      <w:spacing w:before="60" w:after="160" w:line="260" w:lineRule="atLeast"/>
      <w:jc w:val="both"/>
    </w:pPr>
    <w:rPr>
      <w:b/>
      <w:caps/>
      <w:lang w:eastAsia="en-AU"/>
    </w:rPr>
  </w:style>
  <w:style w:type="paragraph" w:customStyle="1" w:styleId="LCCIndentBullet1">
    <w:name w:val="LCCIndentBullet1"/>
    <w:basedOn w:val="Normal"/>
    <w:rsid w:val="00ED0E04"/>
    <w:pPr>
      <w:spacing w:before="120" w:line="260" w:lineRule="atLeast"/>
      <w:jc w:val="both"/>
    </w:pPr>
    <w:rPr>
      <w:sz w:val="22"/>
      <w:lang w:eastAsia="en-AU"/>
    </w:rPr>
  </w:style>
  <w:style w:type="paragraph" w:customStyle="1" w:styleId="Normalnumber">
    <w:name w:val="Normalnumber"/>
    <w:basedOn w:val="Normal"/>
    <w:rsid w:val="00ED0E04"/>
    <w:pPr>
      <w:tabs>
        <w:tab w:val="left" w:pos="1134"/>
        <w:tab w:val="left" w:pos="1701"/>
      </w:tabs>
      <w:spacing w:after="160" w:line="260" w:lineRule="atLeast"/>
    </w:pPr>
    <w:rPr>
      <w:lang w:eastAsia="en-AU"/>
    </w:rPr>
  </w:style>
  <w:style w:type="paragraph" w:customStyle="1" w:styleId="provisions">
    <w:name w:val="provisions"/>
    <w:basedOn w:val="Normal"/>
    <w:link w:val="provisionsChar"/>
    <w:rsid w:val="006A4666"/>
    <w:pPr>
      <w:jc w:val="both"/>
    </w:pPr>
    <w:rPr>
      <w:rFonts w:ascii="Book Antiqua" w:hAnsi="Book Antiqua"/>
    </w:rPr>
  </w:style>
  <w:style w:type="paragraph" w:customStyle="1" w:styleId="provisionsa">
    <w:name w:val="provisionsa"/>
    <w:basedOn w:val="Normal"/>
    <w:rsid w:val="006A4666"/>
    <w:pPr>
      <w:tabs>
        <w:tab w:val="left" w:pos="851"/>
        <w:tab w:val="left" w:pos="1418"/>
        <w:tab w:val="left" w:pos="1985"/>
      </w:tabs>
      <w:jc w:val="both"/>
    </w:pPr>
    <w:rPr>
      <w:rFonts w:ascii="Courier New" w:hAnsi="Courier New"/>
      <w:sz w:val="18"/>
    </w:rPr>
  </w:style>
  <w:style w:type="paragraph" w:customStyle="1" w:styleId="provisionsa1">
    <w:name w:val="provisionsa1"/>
    <w:basedOn w:val="provisionsa"/>
    <w:rsid w:val="006A4666"/>
    <w:pPr>
      <w:ind w:left="1418" w:hanging="1418"/>
    </w:pPr>
  </w:style>
  <w:style w:type="paragraph" w:customStyle="1" w:styleId="line1">
    <w:name w:val="line1"/>
    <w:basedOn w:val="Normal"/>
    <w:rsid w:val="00826340"/>
    <w:pPr>
      <w:tabs>
        <w:tab w:val="left" w:pos="540"/>
        <w:tab w:val="num" w:pos="1620"/>
      </w:tabs>
      <w:autoSpaceDE w:val="0"/>
      <w:autoSpaceDN w:val="0"/>
      <w:adjustRightInd w:val="0"/>
      <w:spacing w:before="120"/>
      <w:ind w:left="540" w:hanging="540"/>
      <w:jc w:val="both"/>
    </w:pPr>
    <w:rPr>
      <w:rFonts w:cs="Arial"/>
      <w:sz w:val="16"/>
      <w:szCs w:val="16"/>
    </w:rPr>
  </w:style>
  <w:style w:type="paragraph" w:customStyle="1" w:styleId="StyleLCCHeadingBefore0ptAfter3pt">
    <w:name w:val="Style LCCHeading + Before:  0 pt After:  3 pt"/>
    <w:basedOn w:val="LCCHeading"/>
    <w:rsid w:val="00E20AAC"/>
    <w:pPr>
      <w:spacing w:before="160" w:after="60"/>
    </w:pPr>
    <w:rPr>
      <w:bCs/>
    </w:rPr>
  </w:style>
  <w:style w:type="paragraph" w:customStyle="1" w:styleId="BarCode">
    <w:name w:val="BarCode"/>
    <w:next w:val="Normal"/>
    <w:rsid w:val="00ED0E04"/>
    <w:pPr>
      <w:spacing w:after="80"/>
      <w:jc w:val="both"/>
    </w:pPr>
    <w:rPr>
      <w:rFonts w:ascii="FSBCB" w:hAnsi="FSBCB"/>
      <w:sz w:val="36"/>
      <w:szCs w:val="52"/>
    </w:rPr>
  </w:style>
  <w:style w:type="paragraph" w:styleId="Closing">
    <w:name w:val="Closing"/>
    <w:rsid w:val="00565F72"/>
    <w:pPr>
      <w:tabs>
        <w:tab w:val="left" w:pos="3969"/>
        <w:tab w:val="left" w:pos="4820"/>
      </w:tabs>
      <w:ind w:left="4819" w:hanging="4819"/>
    </w:pPr>
    <w:rPr>
      <w:rFonts w:ascii="Arial" w:hAnsi="Arial" w:cs="Arial"/>
      <w:noProof/>
    </w:rPr>
  </w:style>
  <w:style w:type="paragraph" w:customStyle="1" w:styleId="LCCIndentItalic1">
    <w:name w:val="LCCIndentItalic1"/>
    <w:basedOn w:val="Normal"/>
    <w:rsid w:val="00ED0E04"/>
    <w:pPr>
      <w:tabs>
        <w:tab w:val="left" w:pos="567"/>
        <w:tab w:val="left" w:pos="1134"/>
        <w:tab w:val="left" w:pos="1701"/>
      </w:tabs>
      <w:spacing w:after="120" w:line="260" w:lineRule="atLeast"/>
      <w:ind w:left="567"/>
      <w:jc w:val="both"/>
    </w:pPr>
    <w:rPr>
      <w:b/>
      <w:i/>
      <w:lang w:eastAsia="en-AU"/>
    </w:rPr>
  </w:style>
  <w:style w:type="paragraph" w:customStyle="1" w:styleId="LCCBlockquote">
    <w:name w:val="LCCBlockquote"/>
    <w:basedOn w:val="LCCIndentItalic1"/>
    <w:rsid w:val="00ED0E04"/>
    <w:pPr>
      <w:tabs>
        <w:tab w:val="clear" w:pos="567"/>
        <w:tab w:val="clear" w:pos="1134"/>
        <w:tab w:val="clear" w:pos="1701"/>
      </w:tabs>
      <w:ind w:left="0"/>
    </w:pPr>
  </w:style>
  <w:style w:type="paragraph" w:customStyle="1" w:styleId="LCCBlockquoteIndent">
    <w:name w:val="LCCBlockquoteIndent"/>
    <w:basedOn w:val="LCCBlockquote"/>
    <w:rsid w:val="00ED0E04"/>
    <w:pPr>
      <w:ind w:left="567" w:hanging="567"/>
    </w:pPr>
  </w:style>
  <w:style w:type="paragraph" w:customStyle="1" w:styleId="LCCEnvInd2">
    <w:name w:val="LCCEnvInd2"/>
    <w:basedOn w:val="Normal"/>
    <w:rsid w:val="00ED0E04"/>
    <w:pPr>
      <w:spacing w:after="120" w:line="260" w:lineRule="atLeast"/>
      <w:ind w:left="1134"/>
      <w:jc w:val="both"/>
    </w:pPr>
    <w:rPr>
      <w:lang w:eastAsia="en-AU"/>
    </w:rPr>
  </w:style>
  <w:style w:type="paragraph" w:customStyle="1" w:styleId="LCCEnvBullet2">
    <w:name w:val="LCCEnvBullet2"/>
    <w:basedOn w:val="LCCEnvInd2"/>
    <w:rsid w:val="00ED0E04"/>
    <w:pPr>
      <w:tabs>
        <w:tab w:val="left" w:pos="1701"/>
      </w:tabs>
    </w:pPr>
  </w:style>
  <w:style w:type="paragraph" w:customStyle="1" w:styleId="LCCEnvInd1">
    <w:name w:val="LCCEnvInd1"/>
    <w:basedOn w:val="Normal"/>
    <w:rsid w:val="00ED0E04"/>
    <w:pPr>
      <w:spacing w:after="120" w:line="260" w:lineRule="atLeast"/>
      <w:ind w:left="567"/>
      <w:jc w:val="both"/>
    </w:pPr>
    <w:rPr>
      <w:lang w:eastAsia="en-AU"/>
    </w:rPr>
  </w:style>
  <w:style w:type="paragraph" w:customStyle="1" w:styleId="LCCEnvNo">
    <w:name w:val="LCCEnvNo"/>
    <w:basedOn w:val="Normal"/>
    <w:rsid w:val="00ED0E04"/>
    <w:pPr>
      <w:spacing w:after="120" w:line="260" w:lineRule="atLeast"/>
      <w:jc w:val="both"/>
    </w:pPr>
    <w:rPr>
      <w:lang w:eastAsia="en-AU"/>
    </w:rPr>
  </w:style>
  <w:style w:type="paragraph" w:customStyle="1" w:styleId="LCCHangingIndent1">
    <w:name w:val="LCCHangingIndent1"/>
    <w:basedOn w:val="Normal"/>
    <w:rsid w:val="00ED0E04"/>
    <w:pPr>
      <w:spacing w:line="260" w:lineRule="atLeast"/>
      <w:ind w:left="1134" w:hanging="567"/>
      <w:jc w:val="both"/>
    </w:pPr>
    <w:rPr>
      <w:lang w:eastAsia="en-AU"/>
    </w:rPr>
  </w:style>
  <w:style w:type="paragraph" w:customStyle="1" w:styleId="LCCIndent1">
    <w:name w:val="LCCIndent1"/>
    <w:basedOn w:val="Normal"/>
    <w:rsid w:val="00ED0E04"/>
    <w:pPr>
      <w:tabs>
        <w:tab w:val="left" w:pos="567"/>
        <w:tab w:val="left" w:pos="1134"/>
        <w:tab w:val="left" w:pos="1701"/>
      </w:tabs>
      <w:spacing w:before="120" w:line="260" w:lineRule="atLeast"/>
      <w:ind w:left="567"/>
      <w:jc w:val="both"/>
    </w:pPr>
    <w:rPr>
      <w:lang w:eastAsia="en-AU"/>
    </w:rPr>
  </w:style>
  <w:style w:type="paragraph" w:customStyle="1" w:styleId="LCCIndent2">
    <w:name w:val="LCCIndent2"/>
    <w:basedOn w:val="Normal"/>
    <w:rsid w:val="00ED0E04"/>
    <w:pPr>
      <w:tabs>
        <w:tab w:val="left" w:pos="567"/>
        <w:tab w:val="left" w:pos="1134"/>
        <w:tab w:val="left" w:pos="1701"/>
      </w:tabs>
      <w:spacing w:before="120" w:line="260" w:lineRule="atLeast"/>
      <w:ind w:left="1134"/>
      <w:jc w:val="both"/>
    </w:pPr>
    <w:rPr>
      <w:lang w:eastAsia="en-AU"/>
    </w:rPr>
  </w:style>
  <w:style w:type="paragraph" w:customStyle="1" w:styleId="LCCIndent2DV">
    <w:name w:val="LCCIndent2DV"/>
    <w:basedOn w:val="Normal"/>
    <w:rsid w:val="00ED0E04"/>
    <w:pPr>
      <w:spacing w:before="120" w:line="260" w:lineRule="atLeast"/>
      <w:ind w:left="1418"/>
      <w:jc w:val="both"/>
    </w:pPr>
    <w:rPr>
      <w:sz w:val="22"/>
      <w:lang w:eastAsia="en-AU"/>
    </w:rPr>
  </w:style>
  <w:style w:type="paragraph" w:customStyle="1" w:styleId="LCCIndent3DV">
    <w:name w:val="LCCIndent3DV"/>
    <w:basedOn w:val="Normal"/>
    <w:rsid w:val="00ED0E04"/>
    <w:pPr>
      <w:spacing w:before="120" w:line="260" w:lineRule="atLeast"/>
      <w:ind w:left="2268"/>
      <w:jc w:val="both"/>
    </w:pPr>
    <w:rPr>
      <w:sz w:val="22"/>
      <w:lang w:eastAsia="en-AU"/>
    </w:rPr>
  </w:style>
  <w:style w:type="paragraph" w:customStyle="1" w:styleId="LCCIndentBullet2">
    <w:name w:val="LCCIndentBullet2"/>
    <w:basedOn w:val="Normal"/>
    <w:rsid w:val="00ED0E04"/>
    <w:pPr>
      <w:tabs>
        <w:tab w:val="left" w:pos="567"/>
        <w:tab w:val="left" w:pos="1134"/>
      </w:tabs>
      <w:spacing w:before="120" w:line="260" w:lineRule="atLeast"/>
      <w:jc w:val="both"/>
    </w:pPr>
    <w:rPr>
      <w:lang w:eastAsia="en-AU"/>
    </w:rPr>
  </w:style>
  <w:style w:type="paragraph" w:customStyle="1" w:styleId="LCCIndentBullet2DV">
    <w:name w:val="LCCIndentBullet2DV"/>
    <w:basedOn w:val="Normal"/>
    <w:rsid w:val="00ED0E04"/>
    <w:pPr>
      <w:tabs>
        <w:tab w:val="left" w:pos="567"/>
        <w:tab w:val="left" w:pos="1134"/>
        <w:tab w:val="left" w:pos="1701"/>
      </w:tabs>
      <w:spacing w:before="120" w:line="260" w:lineRule="atLeast"/>
      <w:jc w:val="both"/>
    </w:pPr>
    <w:rPr>
      <w:lang w:eastAsia="en-AU"/>
    </w:rPr>
  </w:style>
  <w:style w:type="paragraph" w:customStyle="1" w:styleId="LCCIndentItalic2">
    <w:name w:val="LCCIndentItalic2"/>
    <w:basedOn w:val="Normal"/>
    <w:rsid w:val="00ED0E04"/>
    <w:pPr>
      <w:tabs>
        <w:tab w:val="left" w:pos="567"/>
        <w:tab w:val="left" w:pos="1134"/>
        <w:tab w:val="left" w:pos="1701"/>
      </w:tabs>
      <w:spacing w:after="120" w:line="260" w:lineRule="atLeast"/>
      <w:ind w:left="1134"/>
      <w:jc w:val="both"/>
    </w:pPr>
    <w:rPr>
      <w:b/>
      <w:i/>
      <w:lang w:eastAsia="en-AU"/>
    </w:rPr>
  </w:style>
  <w:style w:type="paragraph" w:customStyle="1" w:styleId="LCCIndentItalic2DV">
    <w:name w:val="LCCIndentItalic2DV"/>
    <w:basedOn w:val="LCCIndentItalic2"/>
    <w:rsid w:val="00ED0E04"/>
    <w:pPr>
      <w:ind w:left="1418"/>
    </w:pPr>
  </w:style>
  <w:style w:type="paragraph" w:customStyle="1" w:styleId="LCCIndentNum1">
    <w:name w:val="LCCIndentNum1"/>
    <w:basedOn w:val="Normal"/>
    <w:rsid w:val="00ED0E04"/>
    <w:pPr>
      <w:tabs>
        <w:tab w:val="left" w:pos="567"/>
        <w:tab w:val="left" w:pos="1701"/>
      </w:tabs>
      <w:spacing w:before="120" w:line="260" w:lineRule="atLeast"/>
      <w:jc w:val="both"/>
    </w:pPr>
    <w:rPr>
      <w:lang w:eastAsia="en-AU"/>
    </w:rPr>
  </w:style>
  <w:style w:type="paragraph" w:styleId="ListNumber">
    <w:name w:val="List Number"/>
    <w:basedOn w:val="Normal"/>
    <w:next w:val="ListNumber2"/>
    <w:rsid w:val="00ED0E04"/>
    <w:pPr>
      <w:numPr>
        <w:numId w:val="14"/>
      </w:numPr>
      <w:spacing w:before="120" w:line="260" w:lineRule="atLeast"/>
    </w:pPr>
    <w:rPr>
      <w:b/>
      <w:caps/>
      <w:lang w:eastAsia="en-AU"/>
    </w:rPr>
  </w:style>
  <w:style w:type="paragraph" w:customStyle="1" w:styleId="LCCListNumber">
    <w:name w:val="LCCListNumber"/>
    <w:basedOn w:val="ListNumber"/>
    <w:rsid w:val="00ED0E04"/>
    <w:pPr>
      <w:numPr>
        <w:numId w:val="8"/>
      </w:numPr>
      <w:tabs>
        <w:tab w:val="left" w:pos="567"/>
        <w:tab w:val="left" w:pos="1134"/>
        <w:tab w:val="left" w:pos="1701"/>
      </w:tabs>
      <w:spacing w:after="80"/>
      <w:jc w:val="both"/>
    </w:pPr>
    <w:rPr>
      <w:b w:val="0"/>
      <w:caps w:val="0"/>
    </w:rPr>
  </w:style>
  <w:style w:type="paragraph" w:customStyle="1" w:styleId="ListNumbera">
    <w:name w:val="List Numbera"/>
    <w:basedOn w:val="ListNumber"/>
    <w:rsid w:val="00ED0E04"/>
    <w:pPr>
      <w:numPr>
        <w:numId w:val="0"/>
      </w:numPr>
      <w:tabs>
        <w:tab w:val="left" w:pos="851"/>
      </w:tabs>
      <w:spacing w:after="80"/>
      <w:ind w:left="851" w:hanging="426"/>
      <w:jc w:val="both"/>
    </w:pPr>
  </w:style>
  <w:style w:type="paragraph" w:customStyle="1" w:styleId="LCCListNumbera">
    <w:name w:val="LCCListNumbera"/>
    <w:basedOn w:val="Normal"/>
    <w:rsid w:val="00ED0E04"/>
    <w:pPr>
      <w:tabs>
        <w:tab w:val="left" w:pos="851"/>
      </w:tabs>
      <w:spacing w:before="120" w:after="80" w:line="260" w:lineRule="atLeast"/>
      <w:ind w:left="851" w:hanging="426"/>
      <w:jc w:val="both"/>
    </w:pPr>
    <w:rPr>
      <w:b/>
      <w:caps/>
      <w:lang w:eastAsia="en-AU"/>
    </w:rPr>
  </w:style>
  <w:style w:type="paragraph" w:customStyle="1" w:styleId="LCCNormalNumber">
    <w:name w:val="LCCNormalNumber"/>
    <w:basedOn w:val="Normal"/>
    <w:rsid w:val="00ED0E04"/>
    <w:pPr>
      <w:tabs>
        <w:tab w:val="num" w:pos="360"/>
        <w:tab w:val="left" w:pos="567"/>
        <w:tab w:val="left" w:pos="1134"/>
        <w:tab w:val="left" w:pos="1701"/>
      </w:tabs>
      <w:spacing w:after="160" w:line="260" w:lineRule="atLeast"/>
      <w:ind w:left="360" w:hanging="360"/>
      <w:jc w:val="both"/>
    </w:pPr>
    <w:rPr>
      <w:lang w:eastAsia="en-AU"/>
    </w:rPr>
  </w:style>
  <w:style w:type="paragraph" w:customStyle="1" w:styleId="LCCNumber">
    <w:name w:val="LCCNumber"/>
    <w:basedOn w:val="Normal"/>
    <w:rsid w:val="00ED0E04"/>
    <w:pPr>
      <w:numPr>
        <w:numId w:val="9"/>
      </w:numPr>
      <w:spacing w:before="120" w:line="260" w:lineRule="atLeast"/>
      <w:jc w:val="both"/>
    </w:pPr>
    <w:rPr>
      <w:lang w:eastAsia="en-AU"/>
    </w:rPr>
  </w:style>
  <w:style w:type="paragraph" w:customStyle="1" w:styleId="Outline">
    <w:name w:val="Outline"/>
    <w:basedOn w:val="Normal"/>
    <w:rsid w:val="00ED0E04"/>
    <w:pPr>
      <w:spacing w:after="160" w:line="260" w:lineRule="atLeast"/>
      <w:jc w:val="both"/>
    </w:pPr>
    <w:rPr>
      <w:lang w:eastAsia="en-AU"/>
    </w:rPr>
  </w:style>
  <w:style w:type="paragraph" w:customStyle="1" w:styleId="LCCOutlineDTP">
    <w:name w:val="LCCOutlineDTP"/>
    <w:basedOn w:val="Normal"/>
    <w:rsid w:val="00ED0E04"/>
    <w:pPr>
      <w:numPr>
        <w:numId w:val="10"/>
      </w:numPr>
      <w:spacing w:after="160" w:line="260" w:lineRule="atLeast"/>
      <w:jc w:val="both"/>
    </w:pPr>
    <w:rPr>
      <w:lang w:eastAsia="en-AU"/>
    </w:rPr>
  </w:style>
  <w:style w:type="table" w:customStyle="1" w:styleId="LCCTableGrid">
    <w:name w:val="LCCTableGrid"/>
    <w:basedOn w:val="TableNormal"/>
    <w:rsid w:val="00ED0E04"/>
    <w:rPr>
      <w:rFonts w:ascii="Arial" w:hAnsi="Arial"/>
    </w:rPr>
    <w:tblPr/>
  </w:style>
  <w:style w:type="paragraph" w:customStyle="1" w:styleId="LCCTitle">
    <w:name w:val="LCCTitle"/>
    <w:basedOn w:val="Normal"/>
    <w:rsid w:val="00ED0E04"/>
    <w:pPr>
      <w:tabs>
        <w:tab w:val="left" w:pos="567"/>
        <w:tab w:val="left" w:pos="1134"/>
        <w:tab w:val="left" w:pos="1701"/>
      </w:tabs>
      <w:spacing w:after="240" w:line="260" w:lineRule="atLeast"/>
      <w:jc w:val="both"/>
    </w:pPr>
    <w:rPr>
      <w:b/>
      <w:caps/>
      <w:sz w:val="28"/>
      <w:u w:val="single"/>
      <w:lang w:eastAsia="en-AU"/>
    </w:rPr>
  </w:style>
  <w:style w:type="paragraph" w:customStyle="1" w:styleId="Normalinfo">
    <w:name w:val="Normalinfo"/>
    <w:basedOn w:val="Normal"/>
    <w:rsid w:val="00565F72"/>
    <w:pPr>
      <w:tabs>
        <w:tab w:val="left" w:pos="567"/>
        <w:tab w:val="left" w:pos="1134"/>
        <w:tab w:val="left" w:pos="1701"/>
      </w:tabs>
      <w:spacing w:after="160"/>
      <w:jc w:val="both"/>
    </w:pPr>
  </w:style>
  <w:style w:type="paragraph" w:customStyle="1" w:styleId="Normalrequest">
    <w:name w:val="Normalrequest"/>
    <w:basedOn w:val="Normal"/>
    <w:rsid w:val="00ED0E04"/>
    <w:pPr>
      <w:tabs>
        <w:tab w:val="left" w:pos="567"/>
        <w:tab w:val="left" w:pos="1134"/>
        <w:tab w:val="left" w:pos="1701"/>
      </w:tabs>
      <w:spacing w:after="160" w:line="260" w:lineRule="atLeast"/>
      <w:ind w:left="567" w:hanging="567"/>
      <w:jc w:val="both"/>
    </w:pPr>
    <w:rPr>
      <w:lang w:eastAsia="en-AU"/>
    </w:rPr>
  </w:style>
  <w:style w:type="paragraph" w:customStyle="1" w:styleId="Note2">
    <w:name w:val="Note2"/>
    <w:basedOn w:val="Normal"/>
    <w:rsid w:val="00ED0E04"/>
    <w:pPr>
      <w:spacing w:before="120" w:line="260" w:lineRule="atLeast"/>
      <w:ind w:left="2268" w:hanging="850"/>
      <w:jc w:val="both"/>
    </w:pPr>
    <w:rPr>
      <w:lang w:eastAsia="en-AU"/>
    </w:rPr>
  </w:style>
  <w:style w:type="paragraph" w:customStyle="1" w:styleId="outletref">
    <w:name w:val="outletref"/>
    <w:link w:val="outletrefChar"/>
    <w:rsid w:val="00ED0E04"/>
    <w:pPr>
      <w:tabs>
        <w:tab w:val="left" w:pos="1985"/>
      </w:tabs>
      <w:spacing w:line="240" w:lineRule="atLeast"/>
    </w:pPr>
    <w:rPr>
      <w:rFonts w:ascii="Arial" w:hAnsi="Arial"/>
      <w:sz w:val="18"/>
    </w:rPr>
  </w:style>
  <w:style w:type="paragraph" w:customStyle="1" w:styleId="outletsubject">
    <w:name w:val="outletsubject"/>
    <w:rsid w:val="00ED0E04"/>
    <w:pPr>
      <w:pBdr>
        <w:bottom w:val="single" w:sz="12" w:space="1" w:color="auto"/>
      </w:pBdr>
      <w:jc w:val="both"/>
    </w:pPr>
    <w:rPr>
      <w:rFonts w:ascii="Arial" w:hAnsi="Arial"/>
      <w:b/>
      <w:caps/>
      <w:sz w:val="22"/>
    </w:rPr>
  </w:style>
  <w:style w:type="paragraph" w:customStyle="1" w:styleId="outlinedv">
    <w:name w:val="outlinedv"/>
    <w:basedOn w:val="Normal"/>
    <w:rsid w:val="00ED0E04"/>
    <w:pPr>
      <w:spacing w:before="160" w:line="260" w:lineRule="atLeast"/>
      <w:jc w:val="both"/>
    </w:pPr>
    <w:rPr>
      <w:lang w:eastAsia="en-AU"/>
    </w:rPr>
  </w:style>
  <w:style w:type="paragraph" w:customStyle="1" w:styleId="Submitters">
    <w:name w:val="Submitters"/>
    <w:basedOn w:val="Normal"/>
    <w:rsid w:val="00ED0E04"/>
    <w:pPr>
      <w:tabs>
        <w:tab w:val="left" w:pos="2835"/>
      </w:tabs>
      <w:spacing w:after="120" w:line="260" w:lineRule="atLeast"/>
      <w:jc w:val="both"/>
    </w:pPr>
    <w:rPr>
      <w:lang w:eastAsia="en-AU"/>
    </w:rPr>
  </w:style>
  <w:style w:type="paragraph" w:customStyle="1" w:styleId="SubmittersHeading">
    <w:name w:val="SubmittersHeading"/>
    <w:basedOn w:val="Normal"/>
    <w:next w:val="Submitters"/>
    <w:rsid w:val="00ED0E04"/>
    <w:pPr>
      <w:tabs>
        <w:tab w:val="center" w:pos="1134"/>
        <w:tab w:val="center" w:pos="3261"/>
      </w:tabs>
      <w:spacing w:before="120" w:line="260" w:lineRule="atLeast"/>
      <w:jc w:val="both"/>
    </w:pPr>
    <w:rPr>
      <w:b/>
      <w:lang w:eastAsia="en-AU"/>
    </w:rPr>
  </w:style>
  <w:style w:type="table" w:styleId="TableGrid">
    <w:name w:val="Table Grid"/>
    <w:basedOn w:val="TableNormal"/>
    <w:rsid w:val="00565F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ED0E04"/>
    <w:pPr>
      <w:numPr>
        <w:ilvl w:val="1"/>
        <w:numId w:val="14"/>
      </w:numPr>
      <w:spacing w:before="120" w:line="260" w:lineRule="atLeast"/>
    </w:pPr>
    <w:rPr>
      <w:szCs w:val="22"/>
      <w:lang w:eastAsia="en-AU"/>
    </w:rPr>
  </w:style>
  <w:style w:type="paragraph" w:styleId="ListNumber3">
    <w:name w:val="List Number 3"/>
    <w:basedOn w:val="Normal"/>
    <w:rsid w:val="00ED0E04"/>
    <w:pPr>
      <w:numPr>
        <w:ilvl w:val="2"/>
        <w:numId w:val="14"/>
      </w:numPr>
      <w:spacing w:before="120" w:line="260" w:lineRule="atLeast"/>
    </w:pPr>
    <w:rPr>
      <w:szCs w:val="22"/>
      <w:lang w:eastAsia="en-AU"/>
    </w:rPr>
  </w:style>
  <w:style w:type="paragraph" w:styleId="ListNumber4">
    <w:name w:val="List Number 4"/>
    <w:basedOn w:val="Normal"/>
    <w:rsid w:val="00ED0E04"/>
    <w:pPr>
      <w:numPr>
        <w:ilvl w:val="3"/>
        <w:numId w:val="14"/>
      </w:numPr>
      <w:spacing w:before="120" w:line="260" w:lineRule="atLeast"/>
      <w:jc w:val="both"/>
    </w:pPr>
    <w:rPr>
      <w:szCs w:val="22"/>
      <w:lang w:eastAsia="en-AU"/>
    </w:rPr>
  </w:style>
  <w:style w:type="paragraph" w:customStyle="1" w:styleId="ISubject">
    <w:name w:val="ISubject"/>
    <w:basedOn w:val="Normal"/>
    <w:rsid w:val="00565F72"/>
    <w:pPr>
      <w:keepNext/>
      <w:jc w:val="both"/>
    </w:pPr>
    <w:rPr>
      <w:i/>
      <w:sz w:val="23"/>
    </w:rPr>
  </w:style>
  <w:style w:type="paragraph" w:customStyle="1" w:styleId="Item">
    <w:name w:val="Item"/>
    <w:basedOn w:val="Normal"/>
    <w:rsid w:val="00565F72"/>
    <w:pPr>
      <w:keepNext/>
      <w:tabs>
        <w:tab w:val="left" w:pos="1276"/>
        <w:tab w:val="left" w:pos="5387"/>
        <w:tab w:val="right" w:pos="7088"/>
      </w:tabs>
      <w:spacing w:before="120" w:after="120"/>
      <w:ind w:left="1276" w:hanging="1276"/>
    </w:pPr>
    <w:rPr>
      <w:sz w:val="23"/>
    </w:rPr>
  </w:style>
  <w:style w:type="paragraph" w:customStyle="1" w:styleId="itis">
    <w:name w:val="itis"/>
    <w:basedOn w:val="Normal"/>
    <w:next w:val="Normal"/>
    <w:rsid w:val="00565F72"/>
    <w:pPr>
      <w:keepNext/>
      <w:spacing w:before="120" w:after="120"/>
      <w:jc w:val="both"/>
    </w:pPr>
    <w:rPr>
      <w:b/>
      <w:spacing w:val="20"/>
      <w:sz w:val="22"/>
    </w:rPr>
  </w:style>
  <w:style w:type="paragraph" w:customStyle="1" w:styleId="Styleprovisions8pt">
    <w:name w:val="Style provisions + 8 pt"/>
    <w:basedOn w:val="provisions"/>
    <w:link w:val="Styleprovisions8ptChar"/>
    <w:rsid w:val="00265FD7"/>
    <w:rPr>
      <w:rFonts w:ascii="Arial" w:hAnsi="Arial"/>
      <w:sz w:val="16"/>
    </w:rPr>
  </w:style>
  <w:style w:type="character" w:customStyle="1" w:styleId="provisionsChar">
    <w:name w:val="provisions Char"/>
    <w:link w:val="provisions"/>
    <w:rsid w:val="00265FD7"/>
    <w:rPr>
      <w:rFonts w:ascii="Book Antiqua" w:hAnsi="Book Antiqua"/>
      <w:lang w:val="en-AU" w:eastAsia="en-AU" w:bidi="ar-SA"/>
    </w:rPr>
  </w:style>
  <w:style w:type="numbering" w:customStyle="1" w:styleId="StyleNumberedCourierNew8ptSeaGreen">
    <w:name w:val="Style Numbered Courier New 8 pt Sea Green"/>
    <w:basedOn w:val="NoList"/>
    <w:rsid w:val="000B46C5"/>
    <w:pPr>
      <w:numPr>
        <w:numId w:val="15"/>
      </w:numPr>
    </w:pPr>
  </w:style>
  <w:style w:type="paragraph" w:customStyle="1" w:styleId="StyleCourierNew8ptSeaGreenJustifiedBefore6pt">
    <w:name w:val="Style Courier New 8 pt Sea Green Justified Before:  6 pt"/>
    <w:basedOn w:val="Normal"/>
    <w:rsid w:val="00A67704"/>
    <w:pPr>
      <w:spacing w:before="120"/>
      <w:jc w:val="both"/>
    </w:pPr>
    <w:rPr>
      <w:rFonts w:ascii="Courier New" w:hAnsi="Courier New"/>
      <w:sz w:val="16"/>
    </w:rPr>
  </w:style>
  <w:style w:type="character" w:customStyle="1" w:styleId="Styleprovisions8ptChar">
    <w:name w:val="Style provisions + 8 pt Char"/>
    <w:link w:val="Styleprovisions8pt"/>
    <w:rsid w:val="00265FD7"/>
    <w:rPr>
      <w:rFonts w:ascii="Arial" w:hAnsi="Arial"/>
      <w:sz w:val="16"/>
      <w:lang w:val="en-AU" w:eastAsia="en-AU" w:bidi="ar-SA"/>
    </w:rPr>
  </w:style>
  <w:style w:type="paragraph" w:customStyle="1" w:styleId="StyleStyleprovisions8ptItalic">
    <w:name w:val="Style Style provisions + 8 pt + Italic"/>
    <w:basedOn w:val="Styleprovisions8pt"/>
    <w:link w:val="StyleStyleprovisions8ptItalicChar"/>
    <w:rsid w:val="00265FD7"/>
    <w:rPr>
      <w:i/>
      <w:iCs/>
    </w:rPr>
  </w:style>
  <w:style w:type="character" w:customStyle="1" w:styleId="StyleStyleprovisions8ptItalicChar">
    <w:name w:val="Style Style provisions + 8 pt + Italic Char"/>
    <w:link w:val="StyleStyleprovisions8ptItalic"/>
    <w:rsid w:val="00265FD7"/>
    <w:rPr>
      <w:rFonts w:ascii="Arial" w:hAnsi="Arial"/>
      <w:i/>
      <w:iCs/>
      <w:sz w:val="16"/>
      <w:lang w:val="en-AU" w:eastAsia="en-AU" w:bidi="ar-SA"/>
    </w:rPr>
  </w:style>
  <w:style w:type="paragraph" w:customStyle="1" w:styleId="line2">
    <w:name w:val="line2"/>
    <w:basedOn w:val="Normal"/>
    <w:rsid w:val="00826340"/>
    <w:pPr>
      <w:tabs>
        <w:tab w:val="left" w:pos="1080"/>
        <w:tab w:val="num" w:pos="1620"/>
      </w:tabs>
      <w:autoSpaceDE w:val="0"/>
      <w:autoSpaceDN w:val="0"/>
      <w:adjustRightInd w:val="0"/>
      <w:spacing w:before="120"/>
      <w:ind w:left="1080" w:hanging="540"/>
      <w:jc w:val="both"/>
    </w:pPr>
    <w:rPr>
      <w:rFonts w:cs="Arial"/>
      <w:sz w:val="16"/>
      <w:szCs w:val="16"/>
    </w:rPr>
  </w:style>
  <w:style w:type="paragraph" w:customStyle="1" w:styleId="line3">
    <w:name w:val="line3"/>
    <w:basedOn w:val="Normal"/>
    <w:rsid w:val="00896D1E"/>
    <w:pPr>
      <w:tabs>
        <w:tab w:val="left" w:pos="1620"/>
      </w:tabs>
      <w:autoSpaceDE w:val="0"/>
      <w:autoSpaceDN w:val="0"/>
      <w:adjustRightInd w:val="0"/>
      <w:spacing w:before="80"/>
      <w:ind w:left="1644" w:hanging="567"/>
    </w:pPr>
    <w:rPr>
      <w:rFonts w:cs="Arial"/>
      <w:sz w:val="16"/>
      <w:szCs w:val="16"/>
    </w:rPr>
  </w:style>
  <w:style w:type="paragraph" w:customStyle="1" w:styleId="StyleLCCListNumberBefore12ptLinespacingsingle">
    <w:name w:val="Style LCCListNumber + Before:  12 pt Line spacing:  single"/>
    <w:basedOn w:val="LCCListNumber"/>
    <w:rsid w:val="004F6409"/>
    <w:pPr>
      <w:spacing w:before="240" w:after="240" w:line="240" w:lineRule="auto"/>
      <w:ind w:left="357" w:hanging="357"/>
    </w:pPr>
    <w:rPr>
      <w:bCs/>
    </w:rPr>
  </w:style>
  <w:style w:type="paragraph" w:customStyle="1" w:styleId="StyleLCCListNumberLeft0cmFirstline0cmAfter10pt">
    <w:name w:val="Style LCCListNumber + Left:  0 cm First line:  0 cm After:  10 pt"/>
    <w:basedOn w:val="LCCListNumber"/>
    <w:rsid w:val="00754FEE"/>
    <w:pPr>
      <w:spacing w:after="240"/>
      <w:ind w:left="0" w:firstLine="0"/>
    </w:pPr>
    <w:rPr>
      <w:bCs/>
    </w:rPr>
  </w:style>
  <w:style w:type="paragraph" w:customStyle="1" w:styleId="StyleLCCListNumberBefore0ptLinespacingsingle">
    <w:name w:val="Style LCCListNumber + Before:  0 pt Line spacing:  single"/>
    <w:basedOn w:val="LCCListNumber"/>
    <w:rsid w:val="00B70EAE"/>
    <w:pPr>
      <w:spacing w:before="0" w:after="120" w:line="240" w:lineRule="auto"/>
    </w:pPr>
    <w:rPr>
      <w:bCs/>
    </w:rPr>
  </w:style>
  <w:style w:type="paragraph" w:customStyle="1" w:styleId="StyleBoldAllcapsJustifiedLinespacingsingle">
    <w:name w:val="Style Bold All caps Justified Line spacing:  single"/>
    <w:basedOn w:val="Normal"/>
    <w:rsid w:val="00B70EAE"/>
    <w:pPr>
      <w:spacing w:after="240"/>
      <w:jc w:val="both"/>
    </w:pPr>
    <w:rPr>
      <w:b/>
      <w:bCs/>
      <w:caps/>
    </w:rPr>
  </w:style>
  <w:style w:type="paragraph" w:customStyle="1" w:styleId="StyleLCCListNumber6pt">
    <w:name w:val="Style LCCListNumber + 6 pt"/>
    <w:basedOn w:val="LCCListNumber"/>
    <w:rsid w:val="00097EE2"/>
    <w:pPr>
      <w:numPr>
        <w:numId w:val="0"/>
      </w:numPr>
      <w:ind w:left="567"/>
    </w:pPr>
    <w:rPr>
      <w:bCs/>
      <w:sz w:val="12"/>
    </w:rPr>
  </w:style>
  <w:style w:type="character" w:customStyle="1" w:styleId="Style8ptItalic">
    <w:name w:val="Style 8 pt Italic"/>
    <w:rsid w:val="008847D1"/>
    <w:rPr>
      <w:rFonts w:ascii="Arial" w:hAnsi="Arial"/>
      <w:i/>
      <w:iCs/>
      <w:sz w:val="16"/>
    </w:rPr>
  </w:style>
  <w:style w:type="paragraph" w:customStyle="1" w:styleId="StyleNormalnumberJustifiedBefore6ptAfter0ptLines">
    <w:name w:val="Style Normalnumber + Justified Before:  6 pt After:  0 pt Line s..."/>
    <w:basedOn w:val="Normalnumber"/>
    <w:rsid w:val="00EC1119"/>
    <w:pPr>
      <w:spacing w:before="120" w:after="0" w:line="240" w:lineRule="auto"/>
      <w:ind w:left="357" w:hanging="357"/>
      <w:jc w:val="both"/>
    </w:pPr>
  </w:style>
  <w:style w:type="paragraph" w:customStyle="1" w:styleId="Outletsubjectnoline">
    <w:name w:val="Outletsubject no line"/>
    <w:basedOn w:val="outletsubject"/>
    <w:rsid w:val="00282E94"/>
    <w:pPr>
      <w:pBdr>
        <w:bottom w:val="none" w:sz="0" w:space="0" w:color="auto"/>
      </w:pBdr>
    </w:pPr>
  </w:style>
  <w:style w:type="paragraph" w:customStyle="1" w:styleId="Style11ptBoldAllcapsJustified">
    <w:name w:val="Style 11 pt Bold All caps Justified"/>
    <w:basedOn w:val="outletsubject"/>
    <w:rsid w:val="00123FE2"/>
    <w:pPr>
      <w:pBdr>
        <w:bottom w:val="none" w:sz="0" w:space="0" w:color="auto"/>
      </w:pBdr>
    </w:pPr>
    <w:rPr>
      <w:b w:val="0"/>
      <w:bCs/>
      <w:caps w:val="0"/>
    </w:rPr>
  </w:style>
  <w:style w:type="paragraph" w:customStyle="1" w:styleId="Correspondence">
    <w:name w:val="Correspondence"/>
    <w:basedOn w:val="Normal"/>
    <w:link w:val="CorrespondenceChar"/>
    <w:rsid w:val="00F27A15"/>
    <w:rPr>
      <w:rFonts w:cs="Arial"/>
      <w:sz w:val="18"/>
    </w:rPr>
  </w:style>
  <w:style w:type="paragraph" w:customStyle="1" w:styleId="LCCFamilies">
    <w:name w:val="LCCFamilies"/>
    <w:basedOn w:val="Normal"/>
    <w:rsid w:val="00ED0E04"/>
    <w:rPr>
      <w:caps/>
      <w:sz w:val="12"/>
      <w:szCs w:val="12"/>
      <w:lang w:eastAsia="en-AU"/>
    </w:rPr>
  </w:style>
  <w:style w:type="paragraph" w:customStyle="1" w:styleId="LCCFormTitle">
    <w:name w:val="LCCFormTitle"/>
    <w:basedOn w:val="Normal"/>
    <w:rsid w:val="00ED0E04"/>
    <w:pPr>
      <w:ind w:left="3402"/>
    </w:pPr>
    <w:rPr>
      <w:rFonts w:cs="Arial"/>
      <w:sz w:val="28"/>
      <w:szCs w:val="28"/>
      <w:lang w:eastAsia="en-AU"/>
    </w:rPr>
  </w:style>
  <w:style w:type="paragraph" w:customStyle="1" w:styleId="LCCHeaderPage2">
    <w:name w:val="LCCHeaderPage2"/>
    <w:basedOn w:val="Header"/>
    <w:rsid w:val="00ED0E04"/>
    <w:pPr>
      <w:pBdr>
        <w:top w:val="single" w:sz="24" w:space="1" w:color="auto"/>
      </w:pBdr>
      <w:shd w:val="clear" w:color="auto" w:fill="E0E0E0"/>
      <w:tabs>
        <w:tab w:val="clear" w:pos="4513"/>
        <w:tab w:val="clear" w:pos="9026"/>
        <w:tab w:val="center" w:pos="4153"/>
        <w:tab w:val="center" w:pos="4536"/>
        <w:tab w:val="right" w:pos="8306"/>
        <w:tab w:val="right" w:pos="9072"/>
      </w:tabs>
      <w:ind w:left="-709" w:right="-738"/>
    </w:pPr>
    <w:rPr>
      <w:lang w:eastAsia="en-AU"/>
    </w:rPr>
  </w:style>
  <w:style w:type="character" w:customStyle="1" w:styleId="HeaderChar">
    <w:name w:val="Header Char"/>
    <w:link w:val="Header"/>
    <w:rsid w:val="00ED0E04"/>
    <w:rPr>
      <w:rFonts w:ascii="Arial" w:hAnsi="Arial"/>
      <w:lang w:eastAsia="en-US"/>
    </w:rPr>
  </w:style>
  <w:style w:type="paragraph" w:customStyle="1" w:styleId="LCCOpportunities">
    <w:name w:val="LCCOpportunities"/>
    <w:basedOn w:val="Normal"/>
    <w:rsid w:val="00ED0E04"/>
    <w:rPr>
      <w:b/>
      <w:caps/>
      <w:spacing w:val="36"/>
      <w:sz w:val="14"/>
      <w:szCs w:val="14"/>
      <w:lang w:eastAsia="en-AU"/>
    </w:rPr>
  </w:style>
  <w:style w:type="paragraph" w:customStyle="1" w:styleId="outletsubjectL">
    <w:name w:val="outletsubjectL"/>
    <w:basedOn w:val="outletsubject"/>
    <w:next w:val="Normal"/>
    <w:rsid w:val="00ED0E04"/>
    <w:pPr>
      <w:pBdr>
        <w:top w:val="single" w:sz="12" w:space="1" w:color="auto"/>
        <w:bottom w:val="none" w:sz="0" w:space="0" w:color="auto"/>
      </w:pBdr>
    </w:pPr>
  </w:style>
  <w:style w:type="paragraph" w:customStyle="1" w:styleId="outletsubjectNL">
    <w:name w:val="outletsubjectNL"/>
    <w:basedOn w:val="outletsubject"/>
    <w:rsid w:val="00ED0E04"/>
    <w:pPr>
      <w:pBdr>
        <w:bottom w:val="none" w:sz="0" w:space="0" w:color="auto"/>
      </w:pBdr>
      <w:spacing w:before="40"/>
    </w:pPr>
  </w:style>
  <w:style w:type="paragraph" w:customStyle="1" w:styleId="sideaddress">
    <w:name w:val="side address"/>
    <w:basedOn w:val="Normal"/>
    <w:rsid w:val="00ED0E04"/>
    <w:pPr>
      <w:spacing w:line="360" w:lineRule="auto"/>
      <w:jc w:val="both"/>
    </w:pPr>
    <w:rPr>
      <w:caps/>
      <w:sz w:val="13"/>
      <w:lang w:eastAsia="en-AU"/>
    </w:rPr>
  </w:style>
  <w:style w:type="paragraph" w:customStyle="1" w:styleId="TopAddress">
    <w:name w:val="Top Address"/>
    <w:basedOn w:val="Normal"/>
    <w:rsid w:val="00ED0E04"/>
    <w:pPr>
      <w:jc w:val="both"/>
    </w:pPr>
    <w:rPr>
      <w:caps/>
      <w:spacing w:val="14"/>
      <w:sz w:val="13"/>
      <w:lang w:eastAsia="en-AU"/>
    </w:rPr>
  </w:style>
  <w:style w:type="paragraph" w:styleId="ListNumber5">
    <w:name w:val="List Number 5"/>
    <w:basedOn w:val="Normal"/>
    <w:rsid w:val="00ED0E04"/>
    <w:pPr>
      <w:numPr>
        <w:ilvl w:val="4"/>
        <w:numId w:val="14"/>
      </w:numPr>
      <w:spacing w:before="120" w:line="260" w:lineRule="atLeast"/>
    </w:pPr>
    <w:rPr>
      <w:lang w:eastAsia="en-AU"/>
    </w:rPr>
  </w:style>
  <w:style w:type="character" w:customStyle="1" w:styleId="outletrefChar">
    <w:name w:val="outletref Char"/>
    <w:link w:val="outletref"/>
    <w:rsid w:val="00F27A15"/>
    <w:rPr>
      <w:rFonts w:ascii="Arial" w:hAnsi="Arial"/>
      <w:sz w:val="18"/>
    </w:rPr>
  </w:style>
  <w:style w:type="character" w:customStyle="1" w:styleId="CorrespondenceChar">
    <w:name w:val="Correspondence Char"/>
    <w:link w:val="Correspondence"/>
    <w:rsid w:val="00F27A15"/>
    <w:rPr>
      <w:rFonts w:ascii="Arial" w:hAnsi="Arial" w:cs="Arial"/>
      <w:sz w:val="18"/>
      <w:lang w:eastAsia="en-US"/>
    </w:rPr>
  </w:style>
  <w:style w:type="paragraph" w:customStyle="1" w:styleId="StyleBoldCenteredAfter12pt">
    <w:name w:val="Style Bold Centered After:  12 pt"/>
    <w:basedOn w:val="Normal"/>
    <w:rsid w:val="000A0225"/>
    <w:pPr>
      <w:spacing w:after="120"/>
      <w:jc w:val="center"/>
    </w:pPr>
    <w:rPr>
      <w:b/>
      <w:bCs/>
    </w:rPr>
  </w:style>
  <w:style w:type="paragraph" w:customStyle="1" w:styleId="StyleprovisionsaArial8ptBold">
    <w:name w:val="Style provisionsa + Arial 8 pt Bold"/>
    <w:basedOn w:val="provisionsa"/>
    <w:rsid w:val="00C555B6"/>
    <w:pPr>
      <w:spacing w:before="240" w:after="120"/>
    </w:pPr>
    <w:rPr>
      <w:rFonts w:ascii="Arial" w:hAnsi="Arial"/>
      <w:b/>
      <w:bCs/>
      <w:sz w:val="16"/>
    </w:rPr>
  </w:style>
  <w:style w:type="paragraph" w:customStyle="1" w:styleId="StyleNormalIndentAfter10pt">
    <w:name w:val="Style Normal Indent + After:  10 pt"/>
    <w:basedOn w:val="NormalIndent"/>
    <w:rsid w:val="00ED0E04"/>
    <w:pPr>
      <w:spacing w:before="80" w:after="0"/>
    </w:pPr>
  </w:style>
  <w:style w:type="paragraph" w:styleId="NormalIndent">
    <w:name w:val="Normal Indent"/>
    <w:basedOn w:val="Normal"/>
    <w:rsid w:val="009275DC"/>
    <w:pPr>
      <w:spacing w:after="120"/>
      <w:ind w:left="567"/>
    </w:pPr>
  </w:style>
  <w:style w:type="paragraph" w:customStyle="1" w:styleId="StyleNormalIndentAfter0pt">
    <w:name w:val="Style Normal Indent + After:  0 pt"/>
    <w:basedOn w:val="NormalIndent"/>
    <w:rsid w:val="00F63D00"/>
    <w:pPr>
      <w:spacing w:after="100" w:afterAutospacing="1"/>
    </w:pPr>
  </w:style>
  <w:style w:type="paragraph" w:styleId="BalloonText">
    <w:name w:val="Balloon Text"/>
    <w:basedOn w:val="Normal"/>
    <w:link w:val="BalloonTextChar"/>
    <w:rsid w:val="00544186"/>
    <w:rPr>
      <w:rFonts w:ascii="Segoe UI" w:hAnsi="Segoe UI" w:cs="Segoe UI"/>
      <w:sz w:val="18"/>
      <w:szCs w:val="18"/>
    </w:rPr>
  </w:style>
  <w:style w:type="character" w:customStyle="1" w:styleId="BalloonTextChar">
    <w:name w:val="Balloon Text Char"/>
    <w:link w:val="BalloonText"/>
    <w:rsid w:val="00544186"/>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RelyOnCSS/>
  <w:doNotOrganizeInFolder/>
  <w:doNotUseLongFileNames/>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1E7A5-1106-45E0-A97E-ED4A84CFD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2467</Words>
  <Characters>12901</Characters>
  <Application>Microsoft Office Word</Application>
  <DocSecurity>0</DocSecurity>
  <Lines>403</Lines>
  <Paragraphs>269</Paragraphs>
  <ScaleCrop>false</ScaleCrop>
  <HeadingPairs>
    <vt:vector size="2" baseType="variant">
      <vt:variant>
        <vt:lpstr>Title</vt:lpstr>
      </vt:variant>
      <vt:variant>
        <vt:i4>1</vt:i4>
      </vt:variant>
    </vt:vector>
  </HeadingPairs>
  <TitlesOfParts>
    <vt:vector size="1" baseType="lpstr">
      <vt:lpstr/>
    </vt:vector>
  </TitlesOfParts>
  <Company>Logan City Council</Company>
  <LinksUpToDate>false</LinksUpToDate>
  <CharactersWithSpaces>15099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Sharron Haywood</dc:creator>
  <cp:keywords/>
  <dc:description/>
  <cp:lastModifiedBy>Haywood, Sharron</cp:lastModifiedBy>
  <cp:revision>3</cp:revision>
  <cp:lastPrinted>2015-09-23T05:28:00Z</cp:lastPrinted>
  <dcterms:created xsi:type="dcterms:W3CDTF">2015-09-23T05:27:00Z</dcterms:created>
  <dcterms:modified xsi:type="dcterms:W3CDTF">2015-09-23T05:28:00Z</dcterms:modified>
</cp:coreProperties>
</file>