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7ED633EB" wp14:editId="7A92C0F8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3056A5">
        <w:rPr>
          <w:b/>
          <w:sz w:val="28"/>
          <w:szCs w:val="28"/>
        </w:rPr>
        <w:t>Bacterial Vaginosis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:rsidTr="00877CF2">
        <w:trPr>
          <w:jc w:val="center"/>
        </w:trPr>
        <w:tc>
          <w:tcPr>
            <w:tcW w:w="1555" w:type="dxa"/>
          </w:tcPr>
          <w:p w:rsidR="001162FE" w:rsidRDefault="001162FE">
            <w:r>
              <w:t>Issue date:</w:t>
            </w:r>
          </w:p>
        </w:tc>
        <w:tc>
          <w:tcPr>
            <w:tcW w:w="1984" w:type="dxa"/>
          </w:tcPr>
          <w:p w:rsidR="001162FE" w:rsidRDefault="001162FE"/>
        </w:tc>
        <w:tc>
          <w:tcPr>
            <w:tcW w:w="1843" w:type="dxa"/>
          </w:tcPr>
          <w:p w:rsidR="001162FE" w:rsidRDefault="001162FE">
            <w:r>
              <w:t>Review date:</w:t>
            </w:r>
          </w:p>
        </w:tc>
        <w:tc>
          <w:tcPr>
            <w:tcW w:w="2268" w:type="dxa"/>
          </w:tcPr>
          <w:p w:rsidR="001162FE" w:rsidRDefault="001162FE"/>
        </w:tc>
      </w:tr>
    </w:tbl>
    <w:p w:rsidR="001162FE" w:rsidRDefault="001162FE"/>
    <w:p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:rsidR="001162FE" w:rsidRPr="009A437D" w:rsidRDefault="003056A5">
            <w:r w:rsidRPr="009A437D">
              <w:t>Bacterial Vaginosis</w:t>
            </w:r>
            <w:r w:rsidR="00C02F04" w:rsidRPr="009A437D">
              <w:t xml:space="preserve"> (BV)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:rsidR="001162FE" w:rsidRDefault="00E97B7A">
            <w:r>
              <w:t>To ensure rapid and appropriate treatment of women with symptomatic bacterial vaginosis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:rsidR="001162FE" w:rsidRDefault="00E97B7A">
            <w:r>
              <w:t>Women of reproductive age who are sexual active</w:t>
            </w:r>
            <w:r w:rsidR="00A757BE">
              <w:t xml:space="preserve"> and have been assessed as having bacterial vaginosis </w:t>
            </w:r>
            <w:r w:rsidR="00C02F04" w:rsidRPr="009A437D">
              <w:t xml:space="preserve">and whom are symptomatic. It is not usually necessary to treat BV unless symptoms are present or an invasive procedure is planned </w:t>
            </w:r>
            <w:proofErr w:type="spellStart"/>
            <w:r w:rsidR="00C02F04" w:rsidRPr="009A437D">
              <w:t>eg</w:t>
            </w:r>
            <w:proofErr w:type="spellEnd"/>
            <w:r w:rsidR="00C02F04" w:rsidRPr="009A437D">
              <w:t>. insertion of IUD or TOP. Treatment of male sexual contacts is not usually necessary.</w:t>
            </w:r>
          </w:p>
        </w:tc>
      </w:tr>
      <w:tr w:rsidR="000E47A6" w:rsidTr="001162FE">
        <w:tc>
          <w:tcPr>
            <w:tcW w:w="2689" w:type="dxa"/>
          </w:tcPr>
          <w:p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:rsidR="000E47A6" w:rsidRDefault="00E97B7A">
            <w:r>
              <w:t xml:space="preserve">Exclude other conditions 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:rsidR="001162FE" w:rsidRDefault="00E97B7A">
            <w:r>
              <w:t>1. vaginal discharge</w:t>
            </w:r>
          </w:p>
          <w:p w:rsidR="00E97B7A" w:rsidRDefault="00E97B7A">
            <w:r>
              <w:t>2. Dysuria</w:t>
            </w:r>
          </w:p>
          <w:p w:rsidR="00E97B7A" w:rsidRDefault="00E97B7A">
            <w:r>
              <w:t>3. Dyspareunia</w:t>
            </w:r>
          </w:p>
          <w:p w:rsidR="00E97B7A" w:rsidRDefault="00E97B7A">
            <w:r>
              <w:t>4. Ask regarding the following risk factors</w:t>
            </w:r>
          </w:p>
          <w:p w:rsidR="00E97B7A" w:rsidRDefault="00E97B7A" w:rsidP="00E97B7A">
            <w:pPr>
              <w:pStyle w:val="ListParagraph"/>
              <w:numPr>
                <w:ilvl w:val="0"/>
                <w:numId w:val="1"/>
              </w:numPr>
            </w:pPr>
            <w:r>
              <w:t>Intrauterine device or oral contraception use</w:t>
            </w:r>
          </w:p>
          <w:p w:rsidR="00E97B7A" w:rsidRDefault="00E97B7A" w:rsidP="00E97B7A">
            <w:pPr>
              <w:pStyle w:val="ListParagraph"/>
              <w:numPr>
                <w:ilvl w:val="0"/>
                <w:numId w:val="1"/>
              </w:numPr>
            </w:pPr>
            <w:r>
              <w:t>Multiple or new sexual partners</w:t>
            </w:r>
          </w:p>
          <w:p w:rsidR="00E97B7A" w:rsidRDefault="00E97B7A" w:rsidP="00E97B7A">
            <w:pPr>
              <w:pStyle w:val="ListParagraph"/>
              <w:numPr>
                <w:ilvl w:val="0"/>
                <w:numId w:val="1"/>
              </w:numPr>
            </w:pPr>
            <w:r>
              <w:t>Recent antibiotic use</w:t>
            </w:r>
          </w:p>
          <w:p w:rsidR="00E97B7A" w:rsidRDefault="00E97B7A" w:rsidP="00E97B7A">
            <w:pPr>
              <w:pStyle w:val="ListParagraph"/>
              <w:numPr>
                <w:ilvl w:val="0"/>
                <w:numId w:val="1"/>
              </w:numPr>
            </w:pPr>
            <w:r>
              <w:t>Poor or excessive hygiene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1162FE" w:rsidRPr="00E16C64" w:rsidRDefault="004C694B">
            <w:pPr>
              <w:rPr>
                <w:b/>
              </w:rPr>
            </w:pPr>
            <w:r w:rsidRPr="00E16C64">
              <w:rPr>
                <w:b/>
              </w:rPr>
              <w:t xml:space="preserve">Treatment of women with symptomatic bacterial vaginosis 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1162FE" w:rsidRDefault="004C694B">
            <w:r w:rsidRPr="00FB3B88">
              <w:rPr>
                <w:b/>
              </w:rPr>
              <w:t>Metronidazole</w:t>
            </w:r>
            <w:r>
              <w:t xml:space="preserve"> 400mg tablets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1162FE" w:rsidRDefault="004C694B">
            <w:r>
              <w:t>Take ONE tablet TWICE daily for 7 days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1162FE" w:rsidRDefault="004C694B">
            <w:r>
              <w:t>oral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1162FE" w:rsidRDefault="004C694B">
            <w:r>
              <w:t>14 x 400mg tablets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1162FE" w:rsidRDefault="00A757BE">
            <w:r>
              <w:t>Known hypersensitivity to metronidazole</w:t>
            </w:r>
          </w:p>
        </w:tc>
      </w:tr>
      <w:tr w:rsidR="001162FE" w:rsidTr="00E16C64">
        <w:tc>
          <w:tcPr>
            <w:tcW w:w="2689" w:type="dxa"/>
            <w:tcBorders>
              <w:bottom w:val="single" w:sz="4" w:space="0" w:color="auto"/>
            </w:tcBorders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1162F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>Advise patient to not drink alcohol while being treated with metronidazole and for 48 hours after completion of course.</w:t>
            </w:r>
          </w:p>
          <w:p w:rsidR="00A757B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>Severe liver disease- dose needs to be reduced</w:t>
            </w:r>
          </w:p>
          <w:p w:rsidR="00A757B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 xml:space="preserve">History of blood </w:t>
            </w:r>
            <w:proofErr w:type="spellStart"/>
            <w:r>
              <w:t>dyscrasias</w:t>
            </w:r>
            <w:proofErr w:type="spellEnd"/>
          </w:p>
        </w:tc>
      </w:tr>
      <w:tr w:rsidR="00E16C64" w:rsidTr="00E16C64">
        <w:tc>
          <w:tcPr>
            <w:tcW w:w="2689" w:type="dxa"/>
            <w:tcBorders>
              <w:right w:val="nil"/>
            </w:tcBorders>
          </w:tcPr>
          <w:p w:rsidR="00E16C64" w:rsidRPr="00FB3B88" w:rsidRDefault="00E16C64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E16C64" w:rsidRPr="00FB3B88" w:rsidRDefault="00E16C64">
            <w:pPr>
              <w:rPr>
                <w:sz w:val="12"/>
                <w:szCs w:val="12"/>
              </w:rPr>
            </w:pPr>
          </w:p>
        </w:tc>
      </w:tr>
      <w:tr w:rsidR="00E16C64" w:rsidRP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E16C64" w:rsidRDefault="00E16C64" w:rsidP="00E16C64">
            <w:pPr>
              <w:rPr>
                <w:b/>
              </w:rPr>
            </w:pPr>
            <w:r w:rsidRPr="00E16C64">
              <w:rPr>
                <w:b/>
              </w:rPr>
              <w:t xml:space="preserve">Treatment of women with symptomatic bacterial vaginosis </w:t>
            </w:r>
            <w:r>
              <w:rPr>
                <w:b/>
              </w:rPr>
              <w:t xml:space="preserve">whom </w:t>
            </w:r>
            <w:r w:rsidRPr="00A757BE">
              <w:rPr>
                <w:b/>
                <w:u w:val="single"/>
              </w:rPr>
              <w:t>adherence</w:t>
            </w:r>
            <w:r>
              <w:rPr>
                <w:b/>
              </w:rPr>
              <w:t xml:space="preserve"> will be an issue</w:t>
            </w:r>
          </w:p>
          <w:p w:rsidR="00E16C64" w:rsidRPr="00E16C64" w:rsidRDefault="00E16C64" w:rsidP="00E16C6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Higher relapse rate with this course compared with longer treatment above.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E16C64" w:rsidRDefault="00E16C64" w:rsidP="00E16C64">
            <w:r w:rsidRPr="00FB3B88">
              <w:rPr>
                <w:b/>
              </w:rPr>
              <w:t>Metronidazole</w:t>
            </w:r>
            <w:r>
              <w:t xml:space="preserve"> 400mg tablets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E16C64" w:rsidRDefault="00E16C64" w:rsidP="00E16C64">
            <w:r>
              <w:t>Take FIVE tablets STAT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E16C64" w:rsidRDefault="00E16C64" w:rsidP="00E16C64">
            <w:r>
              <w:t>oral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E16C64" w:rsidRDefault="00E16C64" w:rsidP="00E16C64">
            <w:r>
              <w:t xml:space="preserve">5 x 400mg tablets </w:t>
            </w:r>
          </w:p>
        </w:tc>
      </w:tr>
      <w:tr w:rsidR="00E16C64" w:rsidTr="00E16C64">
        <w:tc>
          <w:tcPr>
            <w:tcW w:w="2689" w:type="dxa"/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E16C64" w:rsidRDefault="00A757BE" w:rsidP="00E16C64">
            <w:r>
              <w:t>Known hypersensitivity to metronidazole</w:t>
            </w:r>
          </w:p>
        </w:tc>
      </w:tr>
      <w:tr w:rsidR="00E16C64" w:rsidTr="00E16C64">
        <w:tc>
          <w:tcPr>
            <w:tcW w:w="2689" w:type="dxa"/>
            <w:tcBorders>
              <w:bottom w:val="single" w:sz="4" w:space="0" w:color="auto"/>
            </w:tcBorders>
          </w:tcPr>
          <w:p w:rsidR="00E16C64" w:rsidRPr="0064385C" w:rsidRDefault="00E16C64" w:rsidP="00E16C64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E16C64" w:rsidRDefault="00A757BE" w:rsidP="00A757BE">
            <w:pPr>
              <w:pStyle w:val="ListParagraph"/>
              <w:numPr>
                <w:ilvl w:val="0"/>
                <w:numId w:val="2"/>
              </w:numPr>
            </w:pPr>
            <w:r>
              <w:t>Advise patient to not drink alcohol  for 48 hours after being treated with metronidazole</w:t>
            </w:r>
          </w:p>
          <w:p w:rsidR="00A757BE" w:rsidRDefault="00A757BE" w:rsidP="00A757BE">
            <w:pPr>
              <w:pStyle w:val="ListParagraph"/>
              <w:numPr>
                <w:ilvl w:val="0"/>
                <w:numId w:val="2"/>
              </w:numPr>
            </w:pPr>
            <w:r>
              <w:t>Severe liver disease- dose needs to be reduced</w:t>
            </w:r>
          </w:p>
          <w:p w:rsidR="00A757BE" w:rsidRDefault="00FC6089" w:rsidP="00A757BE">
            <w:pPr>
              <w:pStyle w:val="ListParagraph"/>
              <w:numPr>
                <w:ilvl w:val="0"/>
                <w:numId w:val="2"/>
              </w:numPr>
            </w:pPr>
            <w:r>
              <w:t xml:space="preserve">History of blood </w:t>
            </w:r>
            <w:proofErr w:type="spellStart"/>
            <w:r>
              <w:t>dyscrasias</w:t>
            </w:r>
            <w:proofErr w:type="spellEnd"/>
          </w:p>
          <w:p w:rsidR="00FC6089" w:rsidRDefault="00FC6089" w:rsidP="00A757BE">
            <w:pPr>
              <w:pStyle w:val="ListParagraph"/>
              <w:numPr>
                <w:ilvl w:val="0"/>
                <w:numId w:val="2"/>
              </w:numPr>
            </w:pPr>
            <w:r>
              <w:t>Avoid single dose in 1</w:t>
            </w:r>
            <w:r w:rsidRPr="00FC6089">
              <w:rPr>
                <w:vertAlign w:val="superscript"/>
              </w:rPr>
              <w:t>st</w:t>
            </w:r>
            <w:r>
              <w:t xml:space="preserve"> trimester pregnancy and breastfeeding to avoid high peak levels</w:t>
            </w:r>
          </w:p>
        </w:tc>
      </w:tr>
      <w:tr w:rsidR="00E16C64" w:rsidTr="00E16C64">
        <w:tc>
          <w:tcPr>
            <w:tcW w:w="2689" w:type="dxa"/>
            <w:tcBorders>
              <w:right w:val="nil"/>
            </w:tcBorders>
          </w:tcPr>
          <w:p w:rsidR="00E16C64" w:rsidRPr="00FB3B88" w:rsidRDefault="00E16C64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E16C64" w:rsidRDefault="00E16C64"/>
        </w:tc>
      </w:tr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:rsidR="00373028" w:rsidRDefault="00373028" w:rsidP="008C2A3F">
            <w:r>
              <w:t xml:space="preserve">Metronidazole can be used in </w:t>
            </w:r>
            <w:r w:rsidR="00FC6089">
              <w:t>pregnant or breastfeeding women (see above)</w:t>
            </w:r>
          </w:p>
          <w:p w:rsidR="009A437D" w:rsidRPr="009A437D" w:rsidRDefault="009A437D" w:rsidP="008C2A3F">
            <w:pPr>
              <w:rPr>
                <w:sz w:val="8"/>
                <w:szCs w:val="8"/>
              </w:rPr>
            </w:pPr>
          </w:p>
          <w:p w:rsidR="00E97B7A" w:rsidRDefault="00E97B7A" w:rsidP="008C2A3F">
            <w:r>
              <w:t>Treatment of male sexual partners is not usually necessary.</w:t>
            </w:r>
          </w:p>
          <w:p w:rsidR="009A437D" w:rsidRPr="009A437D" w:rsidRDefault="009A437D" w:rsidP="008C2A3F">
            <w:pPr>
              <w:rPr>
                <w:sz w:val="8"/>
                <w:szCs w:val="8"/>
              </w:rPr>
            </w:pPr>
          </w:p>
          <w:p w:rsidR="00E97B7A" w:rsidRDefault="00E97B7A" w:rsidP="008C2A3F">
            <w:r>
              <w:lastRenderedPageBreak/>
              <w:t>If indicated, check for sexually transmitted diseases.</w:t>
            </w:r>
          </w:p>
        </w:tc>
      </w:tr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lastRenderedPageBreak/>
              <w:t>Follow-up</w:t>
            </w:r>
          </w:p>
        </w:tc>
        <w:tc>
          <w:tcPr>
            <w:tcW w:w="8073" w:type="dxa"/>
          </w:tcPr>
          <w:p w:rsidR="008C2A3F" w:rsidRDefault="004C694B" w:rsidP="00A757BE">
            <w:r>
              <w:t>Ask the women to represent if symptoms hav</w:t>
            </w:r>
            <w:r w:rsidR="00A757BE">
              <w:t>e not cleared by one week.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:rsidR="0070113B" w:rsidRDefault="0070113B" w:rsidP="0070113B">
            <w:r>
              <w:t>Countersigning is not required. Audited monthly.</w:t>
            </w:r>
          </w:p>
          <w:p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:rsidR="00FC6089" w:rsidRDefault="00FC6089" w:rsidP="00476AA6">
            <w:r>
              <w:t xml:space="preserve">Southern District Health Board Sexual Health Service Standing Orders 2018 </w:t>
            </w:r>
          </w:p>
          <w:p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8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Best Practice Journal at </w:t>
            </w:r>
            <w:hyperlink r:id="rId9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New Zealand Formulary at </w:t>
            </w:r>
            <w:hyperlink r:id="rId10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:rsidR="00AB4A8E" w:rsidRDefault="00476AA6" w:rsidP="00476AA6">
            <w:pPr>
              <w:rPr>
                <w:rStyle w:val="Hyperlink"/>
              </w:rPr>
            </w:pPr>
            <w:r>
              <w:t xml:space="preserve">Individual medicine data sheets at </w:t>
            </w:r>
            <w:hyperlink r:id="rId11" w:history="1">
              <w:r w:rsidRPr="00254A91">
                <w:rPr>
                  <w:rStyle w:val="Hyperlink"/>
                </w:rPr>
                <w:t>www.medsafe.govt.nz</w:t>
              </w:r>
            </w:hyperlink>
          </w:p>
          <w:p w:rsidR="00AB4A8E" w:rsidRDefault="00AB4A8E" w:rsidP="00AB4A8E">
            <w:r>
              <w:t xml:space="preserve">BMJ Best Practice </w:t>
            </w:r>
            <w:hyperlink r:id="rId12" w:history="1">
              <w:r w:rsidRPr="00FD48C7">
                <w:rPr>
                  <w:rStyle w:val="Hyperlink"/>
                </w:rPr>
                <w:t>http://bestpractice.bmj.com</w:t>
              </w:r>
            </w:hyperlink>
            <w:r>
              <w:t xml:space="preserve"> </w:t>
            </w:r>
          </w:p>
          <w:p w:rsidR="005216BC" w:rsidRDefault="00476AA6" w:rsidP="0070113B">
            <w:r>
              <w:t>Standing Order Guidelines, Ministry of Health, 2012</w:t>
            </w:r>
          </w:p>
          <w:p w:rsidR="00663C80" w:rsidRDefault="00663C80" w:rsidP="0070113B">
            <w:r>
              <w:t>Medicines (Standing Order) Regulations 2012 (Standing Order Regulations)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:rsidR="0070113B" w:rsidRDefault="00E97B7A" w:rsidP="0070113B">
            <w:r w:rsidRPr="00184DB7">
              <w:rPr>
                <w:u w:val="single"/>
              </w:rPr>
              <w:t>Dysuria</w:t>
            </w:r>
            <w:r>
              <w:t>- painful urination</w:t>
            </w:r>
          </w:p>
          <w:p w:rsidR="00E97B7A" w:rsidRDefault="00E97B7A" w:rsidP="0070113B">
            <w:r w:rsidRPr="00184DB7">
              <w:rPr>
                <w:u w:val="single"/>
              </w:rPr>
              <w:t>Dyspareunia</w:t>
            </w:r>
            <w:r>
              <w:t>- difficult or painful urination</w:t>
            </w:r>
          </w:p>
        </w:tc>
      </w:tr>
    </w:tbl>
    <w:p w:rsidR="001162FE" w:rsidRDefault="001162FE"/>
    <w:p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:rsidTr="00E97B7A">
        <w:tc>
          <w:tcPr>
            <w:tcW w:w="2689" w:type="dxa"/>
          </w:tcPr>
          <w:p w:rsidR="008C2A3F" w:rsidRPr="0064385C" w:rsidRDefault="008C2A3F" w:rsidP="00E97B7A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:rsidR="008C2A3F" w:rsidRDefault="008C2A3F" w:rsidP="00E97B7A"/>
        </w:tc>
      </w:tr>
    </w:tbl>
    <w:p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:rsidTr="00877CF2">
        <w:tc>
          <w:tcPr>
            <w:tcW w:w="2122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:rsidR="001162FE" w:rsidRDefault="001162FE"/>
    <w:p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:rsidTr="0064385C">
        <w:trPr>
          <w:trHeight w:val="123"/>
        </w:trPr>
        <w:tc>
          <w:tcPr>
            <w:tcW w:w="4531" w:type="dxa"/>
          </w:tcPr>
          <w:p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:rsidR="001162FE" w:rsidRDefault="001162FE"/>
    <w:p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:rsidR="001162FE" w:rsidRDefault="001162FE">
      <w:r>
        <w:t>We the undersigned agree that we have read, understood and will comply with this standing order and all associated documents.</w:t>
      </w:r>
    </w:p>
    <w:p w:rsidR="001162FE" w:rsidRDefault="001162FE"/>
    <w:p w:rsidR="001162FE" w:rsidRDefault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/>
    <w:p w:rsidR="001162FE" w:rsidRDefault="001162FE"/>
    <w:p w:rsidR="001162FE" w:rsidRDefault="001162FE"/>
    <w:p w:rsidR="001162FE" w:rsidRDefault="001162FE">
      <w:bookmarkStart w:id="0" w:name="_GoBack"/>
      <w:bookmarkEnd w:id="0"/>
    </w:p>
    <w:p w:rsidR="001162FE" w:rsidRDefault="001162FE"/>
    <w:sectPr w:rsidR="001162FE" w:rsidSect="00D270A8">
      <w:footerReference w:type="default" r:id="rId1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80" w:rsidRDefault="00663C80" w:rsidP="00663C80">
      <w:pPr>
        <w:spacing w:after="0" w:line="240" w:lineRule="auto"/>
      </w:pPr>
      <w:r>
        <w:separator/>
      </w:r>
    </w:p>
  </w:endnote>
  <w:endnote w:type="continuationSeparator" w:id="0">
    <w:p w:rsidR="00663C80" w:rsidRDefault="00663C80" w:rsidP="0066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C80" w:rsidRDefault="00663C80">
    <w:pPr>
      <w:pStyle w:val="Footer"/>
    </w:pPr>
    <w:r>
      <w:t>Bacterial Vaginosis Standing Order</w:t>
    </w:r>
    <w:r>
      <w:tab/>
    </w:r>
    <w:r w:rsidR="00FC6089">
      <w:t>September 2019</w:t>
    </w:r>
    <w:r>
      <w:tab/>
    </w:r>
    <w:proofErr w:type="spellStart"/>
    <w:r>
      <w:t>WellSouth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80" w:rsidRDefault="00663C80" w:rsidP="00663C80">
      <w:pPr>
        <w:spacing w:after="0" w:line="240" w:lineRule="auto"/>
      </w:pPr>
      <w:r>
        <w:separator/>
      </w:r>
    </w:p>
  </w:footnote>
  <w:footnote w:type="continuationSeparator" w:id="0">
    <w:p w:rsidR="00663C80" w:rsidRDefault="00663C80" w:rsidP="0066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6211E"/>
    <w:multiLevelType w:val="hybridMultilevel"/>
    <w:tmpl w:val="46AA49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D225F"/>
    <w:multiLevelType w:val="hybridMultilevel"/>
    <w:tmpl w:val="A01851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25C6"/>
    <w:multiLevelType w:val="hybridMultilevel"/>
    <w:tmpl w:val="198ED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E47A6"/>
    <w:rsid w:val="001162FE"/>
    <w:rsid w:val="00123A68"/>
    <w:rsid w:val="00184DB7"/>
    <w:rsid w:val="003056A5"/>
    <w:rsid w:val="00373028"/>
    <w:rsid w:val="00476AA6"/>
    <w:rsid w:val="004C694B"/>
    <w:rsid w:val="005216BC"/>
    <w:rsid w:val="0064385C"/>
    <w:rsid w:val="00663C80"/>
    <w:rsid w:val="0070113B"/>
    <w:rsid w:val="00853012"/>
    <w:rsid w:val="00877CF2"/>
    <w:rsid w:val="008C2A3F"/>
    <w:rsid w:val="009A437D"/>
    <w:rsid w:val="00A757BE"/>
    <w:rsid w:val="00AB4A8E"/>
    <w:rsid w:val="00AD16EC"/>
    <w:rsid w:val="00B3378D"/>
    <w:rsid w:val="00C02F04"/>
    <w:rsid w:val="00CF0A25"/>
    <w:rsid w:val="00D270A8"/>
    <w:rsid w:val="00E16C64"/>
    <w:rsid w:val="00E97B7A"/>
    <w:rsid w:val="00FB3B88"/>
    <w:rsid w:val="00F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B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C80"/>
  </w:style>
  <w:style w:type="paragraph" w:styleId="Footer">
    <w:name w:val="footer"/>
    <w:basedOn w:val="Normal"/>
    <w:link w:val="FooterChar"/>
    <w:uiPriority w:val="99"/>
    <w:unhideWhenUsed/>
    <w:rsid w:val="0066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athways.org.n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estpractice.bm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safe.govt.n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zf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ac.org.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858E544D</Template>
  <TotalTime>5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4</cp:revision>
  <dcterms:created xsi:type="dcterms:W3CDTF">2015-12-09T01:23:00Z</dcterms:created>
  <dcterms:modified xsi:type="dcterms:W3CDTF">2019-09-10T00:09:00Z</dcterms:modified>
</cp:coreProperties>
</file>