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31664" w14:textId="23060E40" w:rsidR="00853012" w:rsidRPr="001162FE" w:rsidRDefault="00123A68" w:rsidP="001162FE">
      <w:pPr>
        <w:jc w:val="center"/>
        <w:rPr>
          <w:b/>
          <w:sz w:val="28"/>
          <w:szCs w:val="28"/>
        </w:rPr>
      </w:pPr>
      <w:r w:rsidRPr="00123A68">
        <w:rPr>
          <w:noProof/>
          <w:lang w:eastAsia="en-NZ"/>
        </w:rPr>
        <w:drawing>
          <wp:inline distT="0" distB="0" distL="0" distR="0" wp14:anchorId="72329FD3" wp14:editId="1B2A672D">
            <wp:extent cx="1866900" cy="622184"/>
            <wp:effectExtent l="0" t="0" r="0" b="6985"/>
            <wp:docPr id="2" name="Picture 2" descr="L:\WellSouth Stationery\Logos\Colour\WS_logo_horizontal\Wellsouth_horizontal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WellSouth Stationery\Logos\Colour\WS_logo_horizontal\Wellsouth_horizontal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00" cy="64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r w:rsidR="007541C6">
        <w:rPr>
          <w:b/>
          <w:sz w:val="28"/>
          <w:szCs w:val="28"/>
        </w:rPr>
        <w:t>Chest pain</w:t>
      </w:r>
      <w:r w:rsidR="006F57FE">
        <w:rPr>
          <w:b/>
          <w:sz w:val="28"/>
          <w:szCs w:val="28"/>
        </w:rPr>
        <w:t xml:space="preserve"> </w:t>
      </w:r>
      <w:r w:rsidR="001162FE" w:rsidRPr="001162FE">
        <w:rPr>
          <w:b/>
          <w:sz w:val="28"/>
          <w:szCs w:val="28"/>
        </w:rPr>
        <w:t>Standing Order</w:t>
      </w:r>
      <w:r w:rsidRPr="00123A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2268"/>
      </w:tblGrid>
      <w:tr w:rsidR="001162FE" w14:paraId="2AF2B676" w14:textId="77777777" w:rsidTr="00877CF2">
        <w:trPr>
          <w:jc w:val="center"/>
        </w:trPr>
        <w:tc>
          <w:tcPr>
            <w:tcW w:w="1555" w:type="dxa"/>
          </w:tcPr>
          <w:p w14:paraId="2FEED4B1" w14:textId="77777777" w:rsidR="001162FE" w:rsidRDefault="001162FE">
            <w:r>
              <w:t>Issue date:</w:t>
            </w:r>
          </w:p>
        </w:tc>
        <w:tc>
          <w:tcPr>
            <w:tcW w:w="1984" w:type="dxa"/>
          </w:tcPr>
          <w:p w14:paraId="78626662" w14:textId="77777777" w:rsidR="001162FE" w:rsidRDefault="001162FE"/>
        </w:tc>
        <w:tc>
          <w:tcPr>
            <w:tcW w:w="1843" w:type="dxa"/>
          </w:tcPr>
          <w:p w14:paraId="71FEC6DE" w14:textId="77777777" w:rsidR="001162FE" w:rsidRDefault="001162FE">
            <w:r>
              <w:t>Review date:</w:t>
            </w:r>
          </w:p>
        </w:tc>
        <w:tc>
          <w:tcPr>
            <w:tcW w:w="2268" w:type="dxa"/>
          </w:tcPr>
          <w:p w14:paraId="562029DC" w14:textId="77777777" w:rsidR="001162FE" w:rsidRDefault="001162FE"/>
        </w:tc>
      </w:tr>
    </w:tbl>
    <w:p w14:paraId="3C4EA908" w14:textId="77777777" w:rsidR="001162FE" w:rsidRDefault="001162FE"/>
    <w:p w14:paraId="30B75B6B" w14:textId="77777777" w:rsidR="001162FE" w:rsidRDefault="001162FE">
      <w:r>
        <w:t>This standing order is not valid after the review date.</w:t>
      </w:r>
      <w:r w:rsidR="00877CF2">
        <w:t xml:space="preserve"> The review date is one year after the date the order was signed by the issuer.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1162FE" w14:paraId="78374FE7" w14:textId="77777777" w:rsidTr="001162FE">
        <w:tc>
          <w:tcPr>
            <w:tcW w:w="2689" w:type="dxa"/>
          </w:tcPr>
          <w:p w14:paraId="053AE49A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Standing Order Name</w:t>
            </w:r>
          </w:p>
        </w:tc>
        <w:tc>
          <w:tcPr>
            <w:tcW w:w="8073" w:type="dxa"/>
          </w:tcPr>
          <w:p w14:paraId="3F609B6C" w14:textId="5DFE9204" w:rsidR="001162FE" w:rsidRDefault="007541C6">
            <w:r>
              <w:t xml:space="preserve">Chest </w:t>
            </w:r>
            <w:commentRangeStart w:id="0"/>
            <w:r>
              <w:t>pain</w:t>
            </w:r>
            <w:commentRangeEnd w:id="0"/>
            <w:r w:rsidR="00135C54">
              <w:rPr>
                <w:rStyle w:val="CommentReference"/>
              </w:rPr>
              <w:commentReference w:id="0"/>
            </w:r>
          </w:p>
        </w:tc>
      </w:tr>
      <w:tr w:rsidR="001162FE" w14:paraId="003E85D2" w14:textId="77777777" w:rsidTr="001162FE">
        <w:tc>
          <w:tcPr>
            <w:tcW w:w="2689" w:type="dxa"/>
          </w:tcPr>
          <w:p w14:paraId="7D0150AB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Rationale</w:t>
            </w:r>
          </w:p>
        </w:tc>
        <w:tc>
          <w:tcPr>
            <w:tcW w:w="8073" w:type="dxa"/>
          </w:tcPr>
          <w:p w14:paraId="3680A4C9" w14:textId="0A6CC833" w:rsidR="001162FE" w:rsidRDefault="00DB6744" w:rsidP="001761AE">
            <w:r>
              <w:t xml:space="preserve">To </w:t>
            </w:r>
            <w:r w:rsidR="007541C6">
              <w:t>immediately manage</w:t>
            </w:r>
            <w:r>
              <w:t xml:space="preserve"> patients who are presenting with chest pain </w:t>
            </w:r>
            <w:r w:rsidR="001761AE">
              <w:t>with high suspicion</w:t>
            </w:r>
            <w:r w:rsidR="007541C6">
              <w:t xml:space="preserve"> of acute coronary syndrome whilst awaiting transfer to hospital</w:t>
            </w:r>
            <w:r>
              <w:t>.</w:t>
            </w:r>
          </w:p>
        </w:tc>
      </w:tr>
      <w:tr w:rsidR="001162FE" w14:paraId="68C0774C" w14:textId="77777777" w:rsidTr="001162FE">
        <w:tc>
          <w:tcPr>
            <w:tcW w:w="2689" w:type="dxa"/>
          </w:tcPr>
          <w:p w14:paraId="79A071BF" w14:textId="77777777" w:rsidR="00877CF2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Scope (condition and patient group)</w:t>
            </w:r>
          </w:p>
        </w:tc>
        <w:tc>
          <w:tcPr>
            <w:tcW w:w="8073" w:type="dxa"/>
          </w:tcPr>
          <w:p w14:paraId="1B38AFE4" w14:textId="6A62A068" w:rsidR="001162FE" w:rsidRDefault="006F57FE" w:rsidP="007541C6">
            <w:r>
              <w:t>Adult patients who present with symptoms of chest pa</w:t>
            </w:r>
            <w:r w:rsidR="0011460F">
              <w:t>in indicative of</w:t>
            </w:r>
            <w:r w:rsidR="007541C6">
              <w:t xml:space="preserve"> acute coronary syndrome</w:t>
            </w:r>
            <w:r w:rsidR="00FA6D5B">
              <w:t xml:space="preserve"> (ACS)</w:t>
            </w:r>
            <w:r w:rsidR="007107F6">
              <w:t>.</w:t>
            </w:r>
          </w:p>
        </w:tc>
      </w:tr>
      <w:tr w:rsidR="000E47A6" w14:paraId="4D977258" w14:textId="77777777" w:rsidTr="001162FE">
        <w:tc>
          <w:tcPr>
            <w:tcW w:w="2689" w:type="dxa"/>
          </w:tcPr>
          <w:p w14:paraId="3AAD84AA" w14:textId="77777777" w:rsidR="000E47A6" w:rsidRPr="0064385C" w:rsidRDefault="000E47A6">
            <w:pPr>
              <w:rPr>
                <w:b/>
              </w:rPr>
            </w:pPr>
            <w:r>
              <w:rPr>
                <w:b/>
              </w:rPr>
              <w:t>Red Flags</w:t>
            </w:r>
          </w:p>
        </w:tc>
        <w:tc>
          <w:tcPr>
            <w:tcW w:w="8073" w:type="dxa"/>
          </w:tcPr>
          <w:p w14:paraId="2DC7305F" w14:textId="77777777" w:rsidR="000E47A6" w:rsidRDefault="007107F6">
            <w:r>
              <w:t>Treat all presentations of chest pain described below as an emergency until proved otherwise.</w:t>
            </w:r>
          </w:p>
        </w:tc>
      </w:tr>
      <w:tr w:rsidR="001162FE" w14:paraId="2E228F26" w14:textId="77777777" w:rsidTr="001162FE">
        <w:tc>
          <w:tcPr>
            <w:tcW w:w="2689" w:type="dxa"/>
          </w:tcPr>
          <w:p w14:paraId="460A7EE6" w14:textId="2B5E9162" w:rsidR="001162FE" w:rsidRPr="0064385C" w:rsidRDefault="001761AE">
            <w:pPr>
              <w:rPr>
                <w:b/>
              </w:rPr>
            </w:pPr>
            <w:r>
              <w:rPr>
                <w:b/>
              </w:rPr>
              <w:t>Assessment</w:t>
            </w:r>
          </w:p>
        </w:tc>
        <w:tc>
          <w:tcPr>
            <w:tcW w:w="8073" w:type="dxa"/>
          </w:tcPr>
          <w:p w14:paraId="1BB30ABC" w14:textId="18009BE1" w:rsidR="00CE426F" w:rsidRDefault="00CE426F" w:rsidP="007107F6">
            <w:r>
              <w:t xml:space="preserve">1. Need to distinguish between chest pain that is being caused by </w:t>
            </w:r>
            <w:r w:rsidR="00FA6D5B">
              <w:t>ACS</w:t>
            </w:r>
            <w:r w:rsidR="001761AE">
              <w:t xml:space="preserve"> or other causes</w:t>
            </w:r>
            <w:r>
              <w:t>.</w:t>
            </w:r>
          </w:p>
          <w:p w14:paraId="3EAF8538" w14:textId="127AF281" w:rsidR="007107F6" w:rsidRDefault="00FA6D5B" w:rsidP="00CE426F">
            <w:pPr>
              <w:pStyle w:val="ListParagraph"/>
              <w:numPr>
                <w:ilvl w:val="0"/>
                <w:numId w:val="7"/>
              </w:numPr>
            </w:pPr>
            <w:r>
              <w:t>Chest discomfort and lasting &gt; 20 minutes, may be a sign of</w:t>
            </w:r>
            <w:r w:rsidR="007107F6">
              <w:t xml:space="preserve"> </w:t>
            </w:r>
            <w:r>
              <w:t>ACS</w:t>
            </w:r>
            <w:r w:rsidR="007107F6">
              <w:t xml:space="preserve">. </w:t>
            </w:r>
          </w:p>
          <w:p w14:paraId="6E9694A6" w14:textId="5AA6AEF4" w:rsidR="007107F6" w:rsidRDefault="00FA6D5B" w:rsidP="00CE426F">
            <w:pPr>
              <w:pStyle w:val="ListParagraph"/>
              <w:numPr>
                <w:ilvl w:val="1"/>
                <w:numId w:val="7"/>
              </w:numPr>
            </w:pPr>
            <w:r>
              <w:t>A history of ACS often includes</w:t>
            </w:r>
            <w:r w:rsidR="007107F6">
              <w:t>:</w:t>
            </w:r>
          </w:p>
          <w:p w14:paraId="18DA630E" w14:textId="121A088F" w:rsidR="00FA6D5B" w:rsidRDefault="00FA6D5B" w:rsidP="00FA6D5B">
            <w:pPr>
              <w:pStyle w:val="ListParagraph"/>
              <w:numPr>
                <w:ilvl w:val="2"/>
                <w:numId w:val="7"/>
              </w:numPr>
            </w:pPr>
            <w:r w:rsidRPr="00FA6D5B">
              <w:t>pain predominantly in the chest.</w:t>
            </w:r>
          </w:p>
          <w:p w14:paraId="4FBA17CE" w14:textId="0DD7A4A4" w:rsidR="00FA6D5B" w:rsidRDefault="00FA6D5B" w:rsidP="00FA6D5B">
            <w:pPr>
              <w:pStyle w:val="ListParagraph"/>
              <w:numPr>
                <w:ilvl w:val="2"/>
                <w:numId w:val="7"/>
              </w:numPr>
            </w:pPr>
            <w:r w:rsidRPr="00FA6D5B">
              <w:t>pain which radiates to the arms, back or jaw.</w:t>
            </w:r>
          </w:p>
          <w:p w14:paraId="02E5DDE0" w14:textId="0F1A4989" w:rsidR="007107F6" w:rsidRDefault="00FA6D5B" w:rsidP="00CE426F">
            <w:pPr>
              <w:pStyle w:val="ListParagraph"/>
              <w:numPr>
                <w:ilvl w:val="2"/>
                <w:numId w:val="7"/>
              </w:numPr>
            </w:pPr>
            <w:r>
              <w:t>pain</w:t>
            </w:r>
            <w:r w:rsidR="007107F6">
              <w:t xml:space="preserve"> in one or both arms (more commonly the left arm)</w:t>
            </w:r>
          </w:p>
          <w:p w14:paraId="345EF0E6" w14:textId="77777777" w:rsidR="007107F6" w:rsidRPr="00684CCC" w:rsidRDefault="007107F6" w:rsidP="007107F6">
            <w:pPr>
              <w:rPr>
                <w:sz w:val="8"/>
                <w:szCs w:val="8"/>
              </w:rPr>
            </w:pPr>
          </w:p>
          <w:p w14:paraId="394C82E5" w14:textId="77777777" w:rsidR="007107F6" w:rsidRDefault="007107F6" w:rsidP="00CE426F">
            <w:pPr>
              <w:pStyle w:val="ListParagraph"/>
              <w:numPr>
                <w:ilvl w:val="1"/>
                <w:numId w:val="7"/>
              </w:numPr>
            </w:pPr>
            <w:r>
              <w:t>The discomfort may feel like:</w:t>
            </w:r>
          </w:p>
          <w:p w14:paraId="47464EC7" w14:textId="77777777" w:rsidR="007107F6" w:rsidRDefault="007107F6" w:rsidP="00CE426F">
            <w:pPr>
              <w:pStyle w:val="ListParagraph"/>
              <w:numPr>
                <w:ilvl w:val="2"/>
                <w:numId w:val="3"/>
              </w:numPr>
            </w:pPr>
            <w:r>
              <w:t>squeezing</w:t>
            </w:r>
            <w:r w:rsidR="00CE426F">
              <w:t xml:space="preserve">; </w:t>
            </w:r>
            <w:r>
              <w:t>pressing</w:t>
            </w:r>
            <w:r w:rsidR="00CE426F">
              <w:t xml:space="preserve">; </w:t>
            </w:r>
            <w:r>
              <w:t>tightness</w:t>
            </w:r>
            <w:r w:rsidR="00CE426F">
              <w:t xml:space="preserve">; </w:t>
            </w:r>
            <w:r>
              <w:t>fullness</w:t>
            </w:r>
            <w:r w:rsidR="00CE426F">
              <w:t xml:space="preserve"> or </w:t>
            </w:r>
            <w:r>
              <w:t>pain</w:t>
            </w:r>
          </w:p>
          <w:p w14:paraId="6F48FBFC" w14:textId="77777777" w:rsidR="007107F6" w:rsidRPr="00684CCC" w:rsidRDefault="007107F6" w:rsidP="007107F6">
            <w:pPr>
              <w:rPr>
                <w:sz w:val="8"/>
                <w:szCs w:val="8"/>
              </w:rPr>
            </w:pPr>
          </w:p>
          <w:p w14:paraId="5DF7EEA0" w14:textId="77777777" w:rsidR="007107F6" w:rsidRDefault="007107F6" w:rsidP="00CE426F">
            <w:pPr>
              <w:pStyle w:val="ListParagraph"/>
              <w:numPr>
                <w:ilvl w:val="1"/>
                <w:numId w:val="7"/>
              </w:numPr>
            </w:pPr>
            <w:r>
              <w:t>Along with the chest discomfort, the patient may experience one or more of the following:</w:t>
            </w:r>
          </w:p>
          <w:p w14:paraId="0B8A688A" w14:textId="77777777" w:rsidR="007107F6" w:rsidRDefault="007107F6" w:rsidP="00CE426F">
            <w:pPr>
              <w:pStyle w:val="ListParagraph"/>
              <w:numPr>
                <w:ilvl w:val="2"/>
                <w:numId w:val="4"/>
              </w:numPr>
            </w:pPr>
            <w:r>
              <w:t>sweating</w:t>
            </w:r>
          </w:p>
          <w:p w14:paraId="57D925A3" w14:textId="77777777" w:rsidR="007107F6" w:rsidRDefault="007107F6" w:rsidP="00CE426F">
            <w:pPr>
              <w:pStyle w:val="ListParagraph"/>
              <w:numPr>
                <w:ilvl w:val="2"/>
                <w:numId w:val="4"/>
              </w:numPr>
            </w:pPr>
            <w:r>
              <w:t>feeling faint or dizzy</w:t>
            </w:r>
          </w:p>
          <w:p w14:paraId="4085BE33" w14:textId="77777777" w:rsidR="007107F6" w:rsidRDefault="007107F6" w:rsidP="00CE426F">
            <w:pPr>
              <w:pStyle w:val="ListParagraph"/>
              <w:numPr>
                <w:ilvl w:val="2"/>
                <w:numId w:val="4"/>
              </w:numPr>
            </w:pPr>
            <w:r>
              <w:t>feeling sick</w:t>
            </w:r>
          </w:p>
          <w:p w14:paraId="65DE7827" w14:textId="77777777" w:rsidR="007107F6" w:rsidRDefault="007107F6" w:rsidP="00CE426F">
            <w:pPr>
              <w:pStyle w:val="ListParagraph"/>
              <w:numPr>
                <w:ilvl w:val="2"/>
                <w:numId w:val="4"/>
              </w:numPr>
            </w:pPr>
            <w:r>
              <w:t>vomiting</w:t>
            </w:r>
          </w:p>
          <w:p w14:paraId="22B450E7" w14:textId="77777777" w:rsidR="007107F6" w:rsidRDefault="007107F6" w:rsidP="00CE426F">
            <w:pPr>
              <w:pStyle w:val="ListParagraph"/>
              <w:numPr>
                <w:ilvl w:val="2"/>
                <w:numId w:val="4"/>
              </w:numPr>
            </w:pPr>
            <w:r>
              <w:t>feeling short of breath</w:t>
            </w:r>
          </w:p>
          <w:p w14:paraId="184D1549" w14:textId="77777777" w:rsidR="00FA6D5B" w:rsidRPr="00FA6D5B" w:rsidRDefault="00FA6D5B" w:rsidP="00FA6D5B">
            <w:pPr>
              <w:pStyle w:val="ListParagraph"/>
              <w:numPr>
                <w:ilvl w:val="2"/>
                <w:numId w:val="4"/>
              </w:numPr>
            </w:pPr>
            <w:r w:rsidRPr="00FA6D5B">
              <w:t>associated with exertion.</w:t>
            </w:r>
          </w:p>
          <w:p w14:paraId="46E166A5" w14:textId="4BB0A4FF" w:rsidR="00FA6D5B" w:rsidRPr="00684CCC" w:rsidRDefault="00FA6D5B" w:rsidP="00FA6D5B">
            <w:pPr>
              <w:rPr>
                <w:sz w:val="8"/>
                <w:szCs w:val="8"/>
              </w:rPr>
            </w:pPr>
          </w:p>
          <w:p w14:paraId="215D7D03" w14:textId="3E1460F0" w:rsidR="00FA6D5B" w:rsidRDefault="00FA6D5B" w:rsidP="00FA6D5B">
            <w:pPr>
              <w:pStyle w:val="ListParagraph"/>
              <w:numPr>
                <w:ilvl w:val="0"/>
                <w:numId w:val="7"/>
              </w:numPr>
            </w:pPr>
            <w:r>
              <w:t>The absence of the features above is not a reliable indicator that ACS is not present. ACS is more likely, however if:</w:t>
            </w:r>
          </w:p>
          <w:p w14:paraId="1A91A154" w14:textId="77777777" w:rsidR="00FA6D5B" w:rsidRDefault="00FA6D5B" w:rsidP="00FA6D5B">
            <w:pPr>
              <w:pStyle w:val="ListParagraph"/>
              <w:numPr>
                <w:ilvl w:val="1"/>
                <w:numId w:val="7"/>
              </w:numPr>
            </w:pPr>
            <w:r>
              <w:t>patients with previously stable angina have an abrupt deterioration of their angina with recurrent episodes occurring frequently with little or no exertion.</w:t>
            </w:r>
          </w:p>
          <w:p w14:paraId="5FE6C0B2" w14:textId="77777777" w:rsidR="00FA6D5B" w:rsidRDefault="00FA6D5B" w:rsidP="00FA6D5B">
            <w:pPr>
              <w:pStyle w:val="ListParagraph"/>
              <w:numPr>
                <w:ilvl w:val="1"/>
                <w:numId w:val="7"/>
              </w:numPr>
            </w:pPr>
            <w:r>
              <w:t>pain is similar to the patient's previous angina or MI pain and of extended duration (&gt;20 minutes).</w:t>
            </w:r>
          </w:p>
          <w:p w14:paraId="6259D7FD" w14:textId="77777777" w:rsidR="00CE426F" w:rsidRPr="00684CCC" w:rsidRDefault="00CE426F" w:rsidP="00CE426F">
            <w:pPr>
              <w:rPr>
                <w:sz w:val="8"/>
                <w:szCs w:val="8"/>
              </w:rPr>
            </w:pPr>
          </w:p>
          <w:p w14:paraId="2BBFE38C" w14:textId="77777777" w:rsidR="00CE426F" w:rsidRDefault="00CE426F" w:rsidP="00CE426F">
            <w:r>
              <w:t>2. Check:</w:t>
            </w:r>
          </w:p>
          <w:p w14:paraId="7B893524" w14:textId="77777777" w:rsidR="00CE426F" w:rsidRDefault="00CE426F" w:rsidP="00CE426F">
            <w:pPr>
              <w:pStyle w:val="ListParagraph"/>
              <w:numPr>
                <w:ilvl w:val="0"/>
                <w:numId w:val="5"/>
              </w:numPr>
            </w:pPr>
            <w:r>
              <w:t>blood pressure</w:t>
            </w:r>
          </w:p>
          <w:p w14:paraId="59C8AAA0" w14:textId="69C5CC05" w:rsidR="00CE426F" w:rsidRDefault="00684CCC" w:rsidP="00CE426F">
            <w:pPr>
              <w:pStyle w:val="ListParagraph"/>
              <w:numPr>
                <w:ilvl w:val="0"/>
                <w:numId w:val="5"/>
              </w:numPr>
            </w:pPr>
            <w:r>
              <w:t>pulse rate,</w:t>
            </w:r>
            <w:r w:rsidR="00CE426F">
              <w:t xml:space="preserve"> rhythm</w:t>
            </w:r>
            <w:r>
              <w:t xml:space="preserve"> and heart murmurs</w:t>
            </w:r>
          </w:p>
          <w:p w14:paraId="17FFE1D3" w14:textId="77777777" w:rsidR="00A4765B" w:rsidRDefault="00A4765B" w:rsidP="00CE426F">
            <w:pPr>
              <w:pStyle w:val="ListParagraph"/>
              <w:numPr>
                <w:ilvl w:val="0"/>
                <w:numId w:val="5"/>
              </w:numPr>
            </w:pPr>
            <w:r>
              <w:t>temperature</w:t>
            </w:r>
          </w:p>
          <w:p w14:paraId="6AD120EF" w14:textId="75BB3DA6" w:rsidR="00CE426F" w:rsidRDefault="00A4765B" w:rsidP="00CE426F">
            <w:pPr>
              <w:pStyle w:val="ListParagraph"/>
              <w:numPr>
                <w:ilvl w:val="0"/>
                <w:numId w:val="5"/>
              </w:numPr>
            </w:pPr>
            <w:r>
              <w:t>Oxygen saturation</w:t>
            </w:r>
          </w:p>
          <w:p w14:paraId="2B390949" w14:textId="4D52576D" w:rsidR="00A4765B" w:rsidRDefault="00684CCC" w:rsidP="00CE426F">
            <w:pPr>
              <w:pStyle w:val="ListParagraph"/>
              <w:numPr>
                <w:ilvl w:val="0"/>
                <w:numId w:val="5"/>
              </w:numPr>
            </w:pPr>
            <w:r>
              <w:t>Patient’s</w:t>
            </w:r>
            <w:r w:rsidR="00A4765B">
              <w:t xml:space="preserve"> general appearance.</w:t>
            </w:r>
          </w:p>
          <w:p w14:paraId="73E950A8" w14:textId="77777777" w:rsidR="00CE426F" w:rsidRPr="00684CCC" w:rsidRDefault="00CE426F" w:rsidP="00CE426F">
            <w:pPr>
              <w:pStyle w:val="ListParagraph"/>
              <w:rPr>
                <w:sz w:val="8"/>
                <w:szCs w:val="8"/>
              </w:rPr>
            </w:pPr>
          </w:p>
          <w:p w14:paraId="58C83A16" w14:textId="77777777" w:rsidR="00CE426F" w:rsidRDefault="00CE426F" w:rsidP="00CE426F">
            <w:r>
              <w:t>3. Exclude other conditions e.g., gastrointestinal, musculoskeletal, pericarditis, anxiety / panic disorder, respiratory</w:t>
            </w:r>
          </w:p>
          <w:p w14:paraId="1BAF7F77" w14:textId="77777777" w:rsidR="00684CCC" w:rsidRPr="00684CCC" w:rsidRDefault="00684CCC" w:rsidP="00CE426F">
            <w:pPr>
              <w:rPr>
                <w:sz w:val="8"/>
                <w:szCs w:val="8"/>
              </w:rPr>
            </w:pPr>
          </w:p>
          <w:p w14:paraId="62C0491E" w14:textId="355A4903" w:rsidR="00684CCC" w:rsidRDefault="00684CCC" w:rsidP="00CE426F">
            <w:r>
              <w:t xml:space="preserve">4. </w:t>
            </w:r>
            <w:r w:rsidRPr="00684CCC">
              <w:t>Check comorbidities and cardiovascular risk factors e.g., smoking, family history, medications, age &gt; 65 years</w:t>
            </w:r>
          </w:p>
          <w:p w14:paraId="371FC3BA" w14:textId="77777777" w:rsidR="005D000A" w:rsidRPr="005D000A" w:rsidRDefault="005D000A" w:rsidP="00CE426F">
            <w:pPr>
              <w:rPr>
                <w:sz w:val="8"/>
                <w:szCs w:val="8"/>
              </w:rPr>
            </w:pPr>
          </w:p>
          <w:p w14:paraId="58A48C23" w14:textId="622F8670" w:rsidR="005D000A" w:rsidRDefault="00684CCC" w:rsidP="00CE426F">
            <w:r>
              <w:t>5</w:t>
            </w:r>
            <w:r w:rsidR="005D000A">
              <w:t>. Arrange an ECG (if available)</w:t>
            </w:r>
          </w:p>
          <w:p w14:paraId="2D5C0903" w14:textId="77777777" w:rsidR="005D000A" w:rsidRPr="005D000A" w:rsidRDefault="005D000A" w:rsidP="00CE426F">
            <w:pPr>
              <w:rPr>
                <w:sz w:val="8"/>
                <w:szCs w:val="8"/>
              </w:rPr>
            </w:pPr>
          </w:p>
          <w:p w14:paraId="247B6D73" w14:textId="6A68D230" w:rsidR="007107F6" w:rsidRDefault="00684CCC" w:rsidP="001761AE">
            <w:r>
              <w:t>6</w:t>
            </w:r>
            <w:r w:rsidR="005D000A">
              <w:t>. If suspect ACS arrange for urgent transfer to hospital.</w:t>
            </w:r>
          </w:p>
        </w:tc>
      </w:tr>
      <w:tr w:rsidR="001162FE" w14:paraId="404C7F99" w14:textId="77777777" w:rsidTr="001162FE">
        <w:tc>
          <w:tcPr>
            <w:tcW w:w="2689" w:type="dxa"/>
          </w:tcPr>
          <w:p w14:paraId="7EDA6B62" w14:textId="4E871E90" w:rsidR="001162FE" w:rsidRPr="0064385C" w:rsidRDefault="0064385C">
            <w:pPr>
              <w:rPr>
                <w:b/>
              </w:rPr>
            </w:pPr>
            <w:r>
              <w:rPr>
                <w:b/>
              </w:rPr>
              <w:lastRenderedPageBreak/>
              <w:t>Indication</w:t>
            </w:r>
          </w:p>
        </w:tc>
        <w:tc>
          <w:tcPr>
            <w:tcW w:w="8073" w:type="dxa"/>
          </w:tcPr>
          <w:p w14:paraId="1C5692DA" w14:textId="6DBAEC6B" w:rsidR="001162FE" w:rsidRPr="00176202" w:rsidRDefault="00176202" w:rsidP="005D000A">
            <w:pPr>
              <w:rPr>
                <w:b/>
              </w:rPr>
            </w:pPr>
            <w:r w:rsidRPr="00176202">
              <w:rPr>
                <w:b/>
              </w:rPr>
              <w:t xml:space="preserve">To </w:t>
            </w:r>
            <w:r w:rsidR="005D000A">
              <w:rPr>
                <w:b/>
              </w:rPr>
              <w:t>provide immediate treatment whilst awaiting for transfer in patients with high suspicion of ACS</w:t>
            </w:r>
          </w:p>
        </w:tc>
      </w:tr>
      <w:tr w:rsidR="001162FE" w14:paraId="106D8502" w14:textId="77777777" w:rsidTr="001162FE">
        <w:tc>
          <w:tcPr>
            <w:tcW w:w="2689" w:type="dxa"/>
          </w:tcPr>
          <w:p w14:paraId="51C7F895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7F984A76" w14:textId="370CADEC" w:rsidR="001162FE" w:rsidRDefault="005D000A">
            <w:r w:rsidRPr="005D000A">
              <w:rPr>
                <w:b/>
              </w:rPr>
              <w:t>Aspirin</w:t>
            </w:r>
            <w:r>
              <w:t xml:space="preserve"> 300mg soluble</w:t>
            </w:r>
          </w:p>
        </w:tc>
      </w:tr>
      <w:tr w:rsidR="001162FE" w14:paraId="750B8416" w14:textId="77777777" w:rsidTr="001162FE">
        <w:tc>
          <w:tcPr>
            <w:tcW w:w="2689" w:type="dxa"/>
          </w:tcPr>
          <w:p w14:paraId="5494662E" w14:textId="77777777" w:rsidR="00877CF2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5C20E55A" w14:textId="1ECC3E66" w:rsidR="001162FE" w:rsidRDefault="00751173">
            <w:r>
              <w:t xml:space="preserve">Chew, then swallow </w:t>
            </w:r>
            <w:r w:rsidR="005D000A">
              <w:t>ONE tablet immediately</w:t>
            </w:r>
          </w:p>
        </w:tc>
      </w:tr>
      <w:tr w:rsidR="001162FE" w14:paraId="2B7E7FF3" w14:textId="77777777" w:rsidTr="001162FE">
        <w:tc>
          <w:tcPr>
            <w:tcW w:w="2689" w:type="dxa"/>
          </w:tcPr>
          <w:p w14:paraId="55D72A64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3A821578" w14:textId="498F3F51" w:rsidR="001162FE" w:rsidRDefault="005D000A">
            <w:r>
              <w:t>Oral</w:t>
            </w:r>
          </w:p>
        </w:tc>
      </w:tr>
      <w:tr w:rsidR="001162FE" w14:paraId="70850D84" w14:textId="77777777" w:rsidTr="001162FE">
        <w:tc>
          <w:tcPr>
            <w:tcW w:w="2689" w:type="dxa"/>
          </w:tcPr>
          <w:p w14:paraId="2EFF6193" w14:textId="77777777" w:rsidR="001162FE" w:rsidRPr="0064385C" w:rsidRDefault="0064385C" w:rsidP="0064385C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164F0525" w14:textId="177CF240" w:rsidR="001162FE" w:rsidRDefault="005D000A">
            <w:r>
              <w:t>1 x 300mg soluble tablet</w:t>
            </w:r>
          </w:p>
        </w:tc>
      </w:tr>
      <w:tr w:rsidR="001162FE" w14:paraId="09AFC288" w14:textId="77777777" w:rsidTr="001162FE">
        <w:tc>
          <w:tcPr>
            <w:tcW w:w="2689" w:type="dxa"/>
          </w:tcPr>
          <w:p w14:paraId="3B64802F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14:paraId="3662DC72" w14:textId="6C072912" w:rsidR="001162FE" w:rsidRDefault="005212B4" w:rsidP="005212B4">
            <w:r>
              <w:t>Allergy to aspirin</w:t>
            </w:r>
          </w:p>
        </w:tc>
      </w:tr>
      <w:tr w:rsidR="001162FE" w14:paraId="6C1AE8F4" w14:textId="77777777" w:rsidTr="001162FE">
        <w:tc>
          <w:tcPr>
            <w:tcW w:w="2689" w:type="dxa"/>
          </w:tcPr>
          <w:p w14:paraId="36C688F7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</w:tcPr>
          <w:p w14:paraId="79812FFD" w14:textId="09EBB3CD" w:rsidR="001162FE" w:rsidRDefault="005212B4" w:rsidP="005212B4">
            <w:pPr>
              <w:pStyle w:val="ListParagraph"/>
              <w:numPr>
                <w:ilvl w:val="0"/>
                <w:numId w:val="1"/>
              </w:numPr>
            </w:pPr>
            <w:r>
              <w:t>None for immediate one off treatment</w:t>
            </w:r>
          </w:p>
        </w:tc>
      </w:tr>
      <w:tr w:rsidR="005D000A" w14:paraId="7C9C8E8F" w14:textId="77777777" w:rsidTr="001162FE">
        <w:tc>
          <w:tcPr>
            <w:tcW w:w="2689" w:type="dxa"/>
          </w:tcPr>
          <w:p w14:paraId="14DA17A1" w14:textId="77777777" w:rsidR="005D000A" w:rsidRPr="005D000A" w:rsidRDefault="005D000A">
            <w:pPr>
              <w:rPr>
                <w:b/>
                <w:sz w:val="8"/>
                <w:szCs w:val="8"/>
              </w:rPr>
            </w:pPr>
          </w:p>
        </w:tc>
        <w:tc>
          <w:tcPr>
            <w:tcW w:w="8073" w:type="dxa"/>
          </w:tcPr>
          <w:p w14:paraId="0DC93FAD" w14:textId="77777777" w:rsidR="005D000A" w:rsidRPr="005D000A" w:rsidRDefault="005D000A" w:rsidP="005D000A">
            <w:pPr>
              <w:pStyle w:val="ListParagraph"/>
              <w:rPr>
                <w:sz w:val="8"/>
                <w:szCs w:val="8"/>
              </w:rPr>
            </w:pPr>
          </w:p>
        </w:tc>
      </w:tr>
      <w:tr w:rsidR="005D000A" w:rsidRPr="00176202" w14:paraId="1458DECD" w14:textId="77777777" w:rsidTr="00DB65C9">
        <w:tc>
          <w:tcPr>
            <w:tcW w:w="2689" w:type="dxa"/>
          </w:tcPr>
          <w:p w14:paraId="5BF9679E" w14:textId="77777777" w:rsidR="005D000A" w:rsidRPr="0064385C" w:rsidRDefault="005D000A" w:rsidP="00DB65C9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14:paraId="0A08F2D7" w14:textId="6015865B" w:rsidR="005D000A" w:rsidRPr="00176202" w:rsidRDefault="005D000A" w:rsidP="001813D2">
            <w:pPr>
              <w:rPr>
                <w:b/>
              </w:rPr>
            </w:pPr>
            <w:r w:rsidRPr="00176202">
              <w:rPr>
                <w:b/>
              </w:rPr>
              <w:t xml:space="preserve">To relieve </w:t>
            </w:r>
            <w:r w:rsidR="00751173">
              <w:rPr>
                <w:b/>
              </w:rPr>
              <w:t>chest pain in patients with high suspicion of ACS</w:t>
            </w:r>
          </w:p>
        </w:tc>
      </w:tr>
      <w:tr w:rsidR="005D000A" w14:paraId="3E3F5873" w14:textId="77777777" w:rsidTr="00DB65C9">
        <w:tc>
          <w:tcPr>
            <w:tcW w:w="2689" w:type="dxa"/>
          </w:tcPr>
          <w:p w14:paraId="306816E5" w14:textId="77777777" w:rsidR="005D000A" w:rsidRPr="0064385C" w:rsidRDefault="005D000A" w:rsidP="00DB65C9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2443206A" w14:textId="77777777" w:rsidR="005D000A" w:rsidRDefault="005D000A" w:rsidP="00DB65C9">
            <w:r w:rsidRPr="00F00138">
              <w:rPr>
                <w:b/>
              </w:rPr>
              <w:t xml:space="preserve">Glyceryl </w:t>
            </w:r>
            <w:proofErr w:type="spellStart"/>
            <w:r w:rsidRPr="00F00138">
              <w:rPr>
                <w:b/>
              </w:rPr>
              <w:t>trinitrate</w:t>
            </w:r>
            <w:proofErr w:type="spellEnd"/>
            <w:r>
              <w:t xml:space="preserve"> (GTN) spray</w:t>
            </w:r>
          </w:p>
        </w:tc>
      </w:tr>
      <w:tr w:rsidR="005D000A" w14:paraId="2B6A46CC" w14:textId="77777777" w:rsidTr="00DB65C9">
        <w:tc>
          <w:tcPr>
            <w:tcW w:w="2689" w:type="dxa"/>
          </w:tcPr>
          <w:p w14:paraId="1F311ABB" w14:textId="77777777" w:rsidR="005D000A" w:rsidRPr="0064385C" w:rsidRDefault="005D000A" w:rsidP="00DB65C9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39DB4170" w14:textId="20146AAB" w:rsidR="005D000A" w:rsidRDefault="005D000A" w:rsidP="00B54012">
            <w:r>
              <w:t>1 to 2 sprays</w:t>
            </w:r>
            <w:r w:rsidRPr="00176202">
              <w:t xml:space="preserve"> under the tongue, repeated after 5 minutes if necessary</w:t>
            </w:r>
            <w:r>
              <w:t>.</w:t>
            </w:r>
          </w:p>
        </w:tc>
      </w:tr>
      <w:tr w:rsidR="005D000A" w14:paraId="211154E8" w14:textId="77777777" w:rsidTr="00DB65C9">
        <w:tc>
          <w:tcPr>
            <w:tcW w:w="2689" w:type="dxa"/>
          </w:tcPr>
          <w:p w14:paraId="272AC32C" w14:textId="77777777" w:rsidR="005D000A" w:rsidRPr="0064385C" w:rsidRDefault="005D000A" w:rsidP="00DB65C9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2E8E3844" w14:textId="77777777" w:rsidR="005D000A" w:rsidRDefault="005D000A" w:rsidP="00DB65C9">
            <w:r>
              <w:t>Sublingual</w:t>
            </w:r>
          </w:p>
        </w:tc>
      </w:tr>
      <w:tr w:rsidR="005D000A" w14:paraId="74D0BB69" w14:textId="77777777" w:rsidTr="00DB65C9">
        <w:tc>
          <w:tcPr>
            <w:tcW w:w="2689" w:type="dxa"/>
          </w:tcPr>
          <w:p w14:paraId="30F317B5" w14:textId="77777777" w:rsidR="005D000A" w:rsidRPr="0064385C" w:rsidRDefault="005D000A" w:rsidP="00DB65C9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78E142E8" w14:textId="00B69FBE" w:rsidR="005D000A" w:rsidRDefault="005D000A" w:rsidP="00B54012">
            <w:r>
              <w:t xml:space="preserve">Up to </w:t>
            </w:r>
            <w:r w:rsidR="00B54012">
              <w:t>3 occasions.</w:t>
            </w:r>
          </w:p>
        </w:tc>
      </w:tr>
      <w:tr w:rsidR="005D000A" w14:paraId="0E00421A" w14:textId="77777777" w:rsidTr="00DB65C9">
        <w:tc>
          <w:tcPr>
            <w:tcW w:w="2689" w:type="dxa"/>
          </w:tcPr>
          <w:p w14:paraId="06B2922D" w14:textId="77777777" w:rsidR="005D000A" w:rsidRPr="0064385C" w:rsidRDefault="005D000A" w:rsidP="00DB65C9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14:paraId="5DB6688E" w14:textId="1DD6A4E5" w:rsidR="001813D2" w:rsidRPr="001813D2" w:rsidRDefault="00B54012" w:rsidP="00DB65C9">
            <w:r>
              <w:t>S</w:t>
            </w:r>
            <w:r w:rsidR="005D000A" w:rsidRPr="001813D2">
              <w:t>ystolic BP</w:t>
            </w:r>
            <w:r w:rsidR="001813D2" w:rsidRPr="001813D2">
              <w:t xml:space="preserve"> &lt;90</w:t>
            </w:r>
            <w:r w:rsidR="005D000A" w:rsidRPr="001813D2">
              <w:t>mmHg</w:t>
            </w:r>
            <w:r w:rsidR="001813D2" w:rsidRPr="001813D2">
              <w:t xml:space="preserve"> </w:t>
            </w:r>
          </w:p>
          <w:p w14:paraId="0B9E7289" w14:textId="2522A8A0" w:rsidR="005D000A" w:rsidRDefault="00B54012" w:rsidP="00DB65C9">
            <w:r>
              <w:t>H</w:t>
            </w:r>
            <w:r w:rsidR="005D000A" w:rsidRPr="001813D2">
              <w:t xml:space="preserve">eart rate &lt;40 </w:t>
            </w:r>
            <w:r w:rsidRPr="001813D2">
              <w:t>or &gt;</w:t>
            </w:r>
            <w:r w:rsidR="005D000A" w:rsidRPr="001813D2">
              <w:t xml:space="preserve">130 </w:t>
            </w:r>
            <w:r w:rsidR="001813D2" w:rsidRPr="001813D2">
              <w:t>BPM</w:t>
            </w:r>
            <w:r w:rsidR="005D000A" w:rsidRPr="001813D2">
              <w:t>.</w:t>
            </w:r>
          </w:p>
          <w:p w14:paraId="589CAF5C" w14:textId="56C94F21" w:rsidR="005D000A" w:rsidRDefault="005D000A" w:rsidP="00DB65C9">
            <w:r>
              <w:t>Erectile dysfunction medications (including s</w:t>
            </w:r>
            <w:r w:rsidR="00B54012">
              <w:t>ildenafil) in the last 24 hours-</w:t>
            </w:r>
            <w:r>
              <w:t xml:space="preserve"> Profound hypotension can result.</w:t>
            </w:r>
          </w:p>
        </w:tc>
      </w:tr>
      <w:tr w:rsidR="005D000A" w14:paraId="2CE522F3" w14:textId="77777777" w:rsidTr="00DB65C9">
        <w:tc>
          <w:tcPr>
            <w:tcW w:w="2689" w:type="dxa"/>
          </w:tcPr>
          <w:p w14:paraId="3AF4A594" w14:textId="39D60A8B" w:rsidR="005D000A" w:rsidRPr="0064385C" w:rsidRDefault="005D000A" w:rsidP="00DB65C9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</w:tcPr>
          <w:p w14:paraId="5680F934" w14:textId="77777777" w:rsidR="005D000A" w:rsidRDefault="005D000A" w:rsidP="00DB65C9">
            <w:pPr>
              <w:pStyle w:val="ListParagraph"/>
              <w:numPr>
                <w:ilvl w:val="0"/>
                <w:numId w:val="1"/>
              </w:numPr>
            </w:pPr>
            <w:r>
              <w:t>Monitor for hypotension and dizziness</w:t>
            </w:r>
          </w:p>
        </w:tc>
      </w:tr>
      <w:tr w:rsidR="005D000A" w:rsidRPr="005D000A" w14:paraId="418C5D31" w14:textId="77777777" w:rsidTr="00DB65C9">
        <w:tc>
          <w:tcPr>
            <w:tcW w:w="2689" w:type="dxa"/>
          </w:tcPr>
          <w:p w14:paraId="6D7A7CB2" w14:textId="77777777" w:rsidR="005D000A" w:rsidRPr="005D000A" w:rsidRDefault="005D000A" w:rsidP="00DB65C9">
            <w:pPr>
              <w:rPr>
                <w:b/>
                <w:sz w:val="8"/>
                <w:szCs w:val="8"/>
              </w:rPr>
            </w:pPr>
          </w:p>
        </w:tc>
        <w:tc>
          <w:tcPr>
            <w:tcW w:w="8073" w:type="dxa"/>
          </w:tcPr>
          <w:p w14:paraId="0F0EB041" w14:textId="77777777" w:rsidR="005D000A" w:rsidRPr="005D000A" w:rsidRDefault="005D000A" w:rsidP="00DB65C9">
            <w:pPr>
              <w:pStyle w:val="ListParagraph"/>
              <w:rPr>
                <w:sz w:val="8"/>
                <w:szCs w:val="8"/>
              </w:rPr>
            </w:pPr>
          </w:p>
        </w:tc>
      </w:tr>
      <w:tr w:rsidR="005D000A" w:rsidRPr="00176202" w14:paraId="305F8E67" w14:textId="77777777" w:rsidTr="00DB65C9">
        <w:tc>
          <w:tcPr>
            <w:tcW w:w="2689" w:type="dxa"/>
          </w:tcPr>
          <w:p w14:paraId="66272B75" w14:textId="77777777" w:rsidR="005D000A" w:rsidRPr="0064385C" w:rsidRDefault="005D000A" w:rsidP="00DB65C9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14:paraId="07BB1D4C" w14:textId="22C96710" w:rsidR="005D000A" w:rsidRPr="00176202" w:rsidRDefault="001813D2" w:rsidP="001813D2">
            <w:pPr>
              <w:rPr>
                <w:b/>
              </w:rPr>
            </w:pPr>
            <w:r>
              <w:rPr>
                <w:b/>
              </w:rPr>
              <w:t>If oxygen saturations &lt;94% in patients with high suspicion of ACS</w:t>
            </w:r>
          </w:p>
        </w:tc>
      </w:tr>
      <w:tr w:rsidR="00B54012" w14:paraId="6CE49C2D" w14:textId="77777777" w:rsidTr="00DB65C9">
        <w:tc>
          <w:tcPr>
            <w:tcW w:w="2689" w:type="dxa"/>
          </w:tcPr>
          <w:p w14:paraId="5CE6DC2F" w14:textId="77777777" w:rsidR="00B54012" w:rsidRPr="0064385C" w:rsidRDefault="00B54012" w:rsidP="00B54012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1F99DDF4" w14:textId="58C817ED" w:rsidR="00B54012" w:rsidRDefault="00B54012" w:rsidP="00B54012">
            <w:r w:rsidRPr="00892567">
              <w:rPr>
                <w:b/>
              </w:rPr>
              <w:t>Oxygen</w:t>
            </w:r>
          </w:p>
        </w:tc>
      </w:tr>
      <w:tr w:rsidR="00B54012" w14:paraId="538B45D0" w14:textId="77777777" w:rsidTr="00DB65C9">
        <w:tc>
          <w:tcPr>
            <w:tcW w:w="2689" w:type="dxa"/>
          </w:tcPr>
          <w:p w14:paraId="19484F94" w14:textId="77777777" w:rsidR="00B54012" w:rsidRPr="0064385C" w:rsidRDefault="00B54012" w:rsidP="00B54012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0621A388" w14:textId="1ED8A879" w:rsidR="00B54012" w:rsidRDefault="00B54012" w:rsidP="00B54012">
            <w:r>
              <w:t xml:space="preserve">Administer at high flow rate (6-8 L/min) to maintain oxygen saturation at &gt;94% RA </w:t>
            </w:r>
          </w:p>
        </w:tc>
      </w:tr>
      <w:tr w:rsidR="00B54012" w14:paraId="634EE697" w14:textId="77777777" w:rsidTr="00DB65C9">
        <w:tc>
          <w:tcPr>
            <w:tcW w:w="2689" w:type="dxa"/>
          </w:tcPr>
          <w:p w14:paraId="21021940" w14:textId="77777777" w:rsidR="00B54012" w:rsidRPr="0064385C" w:rsidRDefault="00B54012" w:rsidP="00B54012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688F7A2C" w14:textId="43BC1D4B" w:rsidR="00B54012" w:rsidRDefault="00B54012" w:rsidP="00B54012">
            <w:r>
              <w:t>Simple mask</w:t>
            </w:r>
          </w:p>
        </w:tc>
      </w:tr>
      <w:tr w:rsidR="00B54012" w14:paraId="14EE44CF" w14:textId="77777777" w:rsidTr="00DB65C9">
        <w:tc>
          <w:tcPr>
            <w:tcW w:w="2689" w:type="dxa"/>
          </w:tcPr>
          <w:p w14:paraId="64F10B51" w14:textId="77777777" w:rsidR="00B54012" w:rsidRPr="0064385C" w:rsidRDefault="00B54012" w:rsidP="00B54012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0E4C01D0" w14:textId="22BCB13F" w:rsidR="00B54012" w:rsidRDefault="00B54012" w:rsidP="00B54012">
            <w:r>
              <w:t>6-8 L/minute</w:t>
            </w:r>
          </w:p>
        </w:tc>
      </w:tr>
      <w:tr w:rsidR="00B54012" w14:paraId="0EBDC70A" w14:textId="77777777" w:rsidTr="00DB65C9">
        <w:tc>
          <w:tcPr>
            <w:tcW w:w="2689" w:type="dxa"/>
          </w:tcPr>
          <w:p w14:paraId="13D26E2D" w14:textId="77777777" w:rsidR="00B54012" w:rsidRPr="0064385C" w:rsidRDefault="00B54012" w:rsidP="00B54012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14:paraId="53DADF85" w14:textId="3BE8800D" w:rsidR="00B54012" w:rsidRDefault="00B54012" w:rsidP="00B54012">
            <w:r>
              <w:t>None</w:t>
            </w:r>
          </w:p>
        </w:tc>
      </w:tr>
      <w:tr w:rsidR="00B54012" w14:paraId="032C383C" w14:textId="77777777" w:rsidTr="00DB65C9">
        <w:tc>
          <w:tcPr>
            <w:tcW w:w="2689" w:type="dxa"/>
          </w:tcPr>
          <w:p w14:paraId="21897651" w14:textId="77777777" w:rsidR="00B54012" w:rsidRPr="0064385C" w:rsidRDefault="00B54012" w:rsidP="00B54012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</w:tcPr>
          <w:p w14:paraId="318CD74B" w14:textId="6185351B" w:rsidR="00B54012" w:rsidRDefault="00B54012" w:rsidP="00B54012">
            <w:pPr>
              <w:pStyle w:val="ListParagraph"/>
              <w:numPr>
                <w:ilvl w:val="0"/>
                <w:numId w:val="1"/>
              </w:numPr>
            </w:pPr>
            <w:r w:rsidRPr="00924F0F">
              <w:t>COPD, morbid obesity, those on home O2</w:t>
            </w:r>
            <w:r>
              <w:t xml:space="preserve">, those on home CPAP or </w:t>
            </w:r>
            <w:proofErr w:type="spellStart"/>
            <w:r>
              <w:t>BiPAP</w:t>
            </w:r>
            <w:proofErr w:type="spellEnd"/>
            <w:r>
              <w:t>. These patients O2 flow rates should be titrated to patient’s normal SpO2 if this is known. If not known, titrate O2 to SpO2 of 88-92%.</w:t>
            </w:r>
          </w:p>
        </w:tc>
      </w:tr>
      <w:tr w:rsidR="005D000A" w:rsidRPr="005D000A" w14:paraId="4BBF2DA9" w14:textId="77777777" w:rsidTr="00DB65C9">
        <w:tc>
          <w:tcPr>
            <w:tcW w:w="2689" w:type="dxa"/>
          </w:tcPr>
          <w:p w14:paraId="5275FD0F" w14:textId="421E9C8B" w:rsidR="005D000A" w:rsidRPr="005D000A" w:rsidRDefault="005D000A" w:rsidP="00DB65C9">
            <w:pPr>
              <w:rPr>
                <w:b/>
                <w:sz w:val="8"/>
                <w:szCs w:val="8"/>
              </w:rPr>
            </w:pPr>
          </w:p>
        </w:tc>
        <w:tc>
          <w:tcPr>
            <w:tcW w:w="8073" w:type="dxa"/>
          </w:tcPr>
          <w:p w14:paraId="137A0930" w14:textId="77777777" w:rsidR="005D000A" w:rsidRPr="005D000A" w:rsidRDefault="005D000A" w:rsidP="00DB65C9">
            <w:pPr>
              <w:pStyle w:val="ListParagraph"/>
              <w:rPr>
                <w:sz w:val="8"/>
                <w:szCs w:val="8"/>
              </w:rPr>
            </w:pPr>
          </w:p>
        </w:tc>
      </w:tr>
      <w:tr w:rsidR="008C2A3F" w14:paraId="68B94246" w14:textId="77777777" w:rsidTr="001162FE">
        <w:tc>
          <w:tcPr>
            <w:tcW w:w="2689" w:type="dxa"/>
          </w:tcPr>
          <w:p w14:paraId="5F67D625" w14:textId="77777777"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t>Additional information</w:t>
            </w:r>
          </w:p>
        </w:tc>
        <w:tc>
          <w:tcPr>
            <w:tcW w:w="8073" w:type="dxa"/>
          </w:tcPr>
          <w:p w14:paraId="2D8F2CDF" w14:textId="020BE7F9" w:rsidR="008C2A3F" w:rsidRDefault="00B54012" w:rsidP="008C2A3F">
            <w:r>
              <w:t>If the chest pain is not controlled by the GTN, then you can follow the pain relief (severe) standing order, which includes morphine.</w:t>
            </w:r>
            <w:r w:rsidR="00456861">
              <w:t xml:space="preserve"> </w:t>
            </w:r>
          </w:p>
        </w:tc>
      </w:tr>
      <w:tr w:rsidR="008C2A3F" w14:paraId="06CDC3B7" w14:textId="77777777" w:rsidTr="001162FE">
        <w:tc>
          <w:tcPr>
            <w:tcW w:w="2689" w:type="dxa"/>
          </w:tcPr>
          <w:p w14:paraId="26305A69" w14:textId="77777777"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t>Follow-up</w:t>
            </w:r>
          </w:p>
        </w:tc>
        <w:tc>
          <w:tcPr>
            <w:tcW w:w="8073" w:type="dxa"/>
          </w:tcPr>
          <w:p w14:paraId="280945F6" w14:textId="51465FFC" w:rsidR="007107F6" w:rsidRDefault="00B54012" w:rsidP="008C2A3F">
            <w:r>
              <w:t>Any patient treated under this standing order will need to be transferred to hospital for ongoing management</w:t>
            </w:r>
            <w:r w:rsidR="006C762C">
              <w:t xml:space="preserve"> and assessment</w:t>
            </w:r>
            <w:r>
              <w:t>.</w:t>
            </w:r>
          </w:p>
        </w:tc>
      </w:tr>
      <w:tr w:rsidR="0070113B" w14:paraId="59F38BC2" w14:textId="77777777" w:rsidTr="001162FE">
        <w:tc>
          <w:tcPr>
            <w:tcW w:w="2689" w:type="dxa"/>
          </w:tcPr>
          <w:p w14:paraId="1ED9F2B0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Countersigning and auditing</w:t>
            </w:r>
          </w:p>
        </w:tc>
        <w:tc>
          <w:tcPr>
            <w:tcW w:w="8073" w:type="dxa"/>
          </w:tcPr>
          <w:p w14:paraId="2A400E0D" w14:textId="77777777" w:rsidR="0070113B" w:rsidRDefault="0070113B" w:rsidP="0070113B">
            <w:r>
              <w:t>Countersigning is not required. Audited monthly.</w:t>
            </w:r>
          </w:p>
          <w:p w14:paraId="7667C077" w14:textId="77777777" w:rsidR="0070113B" w:rsidRPr="0070113B" w:rsidRDefault="0070113B" w:rsidP="0070113B">
            <w:pPr>
              <w:rPr>
                <w:b/>
              </w:rPr>
            </w:pPr>
            <w:r w:rsidRPr="0070113B">
              <w:rPr>
                <w:b/>
              </w:rPr>
              <w:t xml:space="preserve">OR </w:t>
            </w:r>
          </w:p>
          <w:p w14:paraId="054F9AD5" w14:textId="77777777" w:rsidR="0070113B" w:rsidRDefault="0070113B" w:rsidP="0070113B">
            <w:r>
              <w:t xml:space="preserve">Countersigning is required within </w:t>
            </w:r>
            <w:r w:rsidRPr="00070579">
              <w:rPr>
                <w:b/>
                <w:i/>
              </w:rPr>
              <w:t>XX</w:t>
            </w:r>
            <w:r>
              <w:t xml:space="preserve"> days</w:t>
            </w:r>
          </w:p>
        </w:tc>
      </w:tr>
      <w:tr w:rsidR="0070113B" w14:paraId="2955DA2A" w14:textId="77777777" w:rsidTr="001162FE">
        <w:tc>
          <w:tcPr>
            <w:tcW w:w="2689" w:type="dxa"/>
          </w:tcPr>
          <w:p w14:paraId="6F457C06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Competency/training requirements</w:t>
            </w:r>
          </w:p>
        </w:tc>
        <w:tc>
          <w:tcPr>
            <w:tcW w:w="8073" w:type="dxa"/>
          </w:tcPr>
          <w:p w14:paraId="57B3D742" w14:textId="77777777" w:rsidR="0070113B" w:rsidRDefault="0070113B" w:rsidP="0070113B">
            <w:r>
              <w:t>All nurses working under this standing order must be signed off as competent to do so by the issuer and have had specific training in this standing order.</w:t>
            </w:r>
          </w:p>
        </w:tc>
      </w:tr>
      <w:tr w:rsidR="0070113B" w14:paraId="5BE1D2DB" w14:textId="77777777" w:rsidTr="001162FE">
        <w:tc>
          <w:tcPr>
            <w:tcW w:w="2689" w:type="dxa"/>
          </w:tcPr>
          <w:p w14:paraId="5D9F5945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Supporting documentation</w:t>
            </w:r>
          </w:p>
        </w:tc>
        <w:tc>
          <w:tcPr>
            <w:tcW w:w="8073" w:type="dxa"/>
          </w:tcPr>
          <w:p w14:paraId="45308801" w14:textId="77777777" w:rsidR="00476AA6" w:rsidRDefault="00476AA6" w:rsidP="00476AA6">
            <w:proofErr w:type="spellStart"/>
            <w:r>
              <w:t>Healthpathways</w:t>
            </w:r>
            <w:proofErr w:type="spellEnd"/>
            <w:r>
              <w:t xml:space="preserve"> at </w:t>
            </w:r>
            <w:hyperlink r:id="rId10" w:history="1">
              <w:r w:rsidRPr="00254A91">
                <w:rPr>
                  <w:rStyle w:val="Hyperlink"/>
                </w:rPr>
                <w:t>www.healthpathways.org.nz</w:t>
              </w:r>
            </w:hyperlink>
            <w:r>
              <w:t xml:space="preserve"> </w:t>
            </w:r>
          </w:p>
          <w:p w14:paraId="71DE6354" w14:textId="77777777" w:rsidR="00476AA6" w:rsidRDefault="00476AA6" w:rsidP="00476AA6">
            <w:r>
              <w:t xml:space="preserve">Best Practice Journal at </w:t>
            </w:r>
            <w:hyperlink r:id="rId11" w:history="1">
              <w:r w:rsidRPr="00254A91">
                <w:rPr>
                  <w:rStyle w:val="Hyperlink"/>
                </w:rPr>
                <w:t>www.bpac.org.nz</w:t>
              </w:r>
            </w:hyperlink>
            <w:r>
              <w:t xml:space="preserve"> </w:t>
            </w:r>
          </w:p>
          <w:p w14:paraId="7B958CF7" w14:textId="77777777" w:rsidR="00476AA6" w:rsidRDefault="00476AA6" w:rsidP="00476AA6">
            <w:r>
              <w:t xml:space="preserve">New Zealand Formulary at </w:t>
            </w:r>
            <w:hyperlink r:id="rId12" w:history="1">
              <w:r w:rsidRPr="00254A91">
                <w:rPr>
                  <w:rStyle w:val="Hyperlink"/>
                </w:rPr>
                <w:t>www.nzf.org.nz</w:t>
              </w:r>
            </w:hyperlink>
            <w:r>
              <w:t xml:space="preserve"> </w:t>
            </w:r>
          </w:p>
          <w:p w14:paraId="334DDEE3" w14:textId="77777777" w:rsidR="00476AA6" w:rsidRDefault="00476AA6" w:rsidP="00476AA6">
            <w:r>
              <w:t xml:space="preserve">Individual medicine data sheets at </w:t>
            </w:r>
            <w:hyperlink r:id="rId13" w:history="1">
              <w:r w:rsidRPr="00254A91">
                <w:rPr>
                  <w:rStyle w:val="Hyperlink"/>
                </w:rPr>
                <w:t>www.medsafe.govt.nz</w:t>
              </w:r>
            </w:hyperlink>
            <w:r>
              <w:t xml:space="preserve"> </w:t>
            </w:r>
          </w:p>
          <w:p w14:paraId="4D6C6762" w14:textId="77777777" w:rsidR="00875787" w:rsidRDefault="00875787" w:rsidP="00476AA6">
            <w:r>
              <w:t xml:space="preserve">The Heart Foundation </w:t>
            </w:r>
            <w:hyperlink r:id="rId14" w:history="1">
              <w:r w:rsidRPr="00FA62B8">
                <w:rPr>
                  <w:rStyle w:val="Hyperlink"/>
                </w:rPr>
                <w:t>http://www.heartfoundation.org.nz</w:t>
              </w:r>
            </w:hyperlink>
            <w:r>
              <w:t xml:space="preserve"> </w:t>
            </w:r>
          </w:p>
          <w:p w14:paraId="52C6E7ED" w14:textId="77777777" w:rsidR="005216BC" w:rsidRDefault="00476AA6" w:rsidP="0070113B">
            <w:r>
              <w:t>Standing Order Guidelines, Ministry of Health, 2012</w:t>
            </w:r>
          </w:p>
          <w:p w14:paraId="33BC5A52" w14:textId="77777777" w:rsidR="00467EC6" w:rsidRDefault="00467EC6" w:rsidP="0070113B">
            <w:r>
              <w:t>Medicines (Standing Order) Regulations 2012 (Standing Order Regulations)</w:t>
            </w:r>
          </w:p>
        </w:tc>
      </w:tr>
      <w:tr w:rsidR="0070113B" w14:paraId="3627983F" w14:textId="77777777" w:rsidTr="001162FE">
        <w:tc>
          <w:tcPr>
            <w:tcW w:w="2689" w:type="dxa"/>
          </w:tcPr>
          <w:p w14:paraId="0162F7F3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Definition of terms used in standing order</w:t>
            </w:r>
          </w:p>
        </w:tc>
        <w:tc>
          <w:tcPr>
            <w:tcW w:w="8073" w:type="dxa"/>
          </w:tcPr>
          <w:p w14:paraId="4CCED754" w14:textId="77777777" w:rsidR="0070113B" w:rsidRDefault="004F0762" w:rsidP="0070113B">
            <w:r>
              <w:t>None</w:t>
            </w:r>
          </w:p>
        </w:tc>
      </w:tr>
    </w:tbl>
    <w:p w14:paraId="280868F4" w14:textId="77777777" w:rsidR="001162FE" w:rsidRDefault="001162FE"/>
    <w:p w14:paraId="65AF17BA" w14:textId="77777777" w:rsidR="008C2A3F" w:rsidRDefault="008C2A3F"/>
    <w:p w14:paraId="4BB314DF" w14:textId="77777777" w:rsidR="006C762C" w:rsidRDefault="006C762C"/>
    <w:p w14:paraId="303491B2" w14:textId="77777777" w:rsidR="006C762C" w:rsidRDefault="006C762C"/>
    <w:p w14:paraId="6BC6159B" w14:textId="77777777" w:rsidR="006C762C" w:rsidRDefault="006C76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8C2A3F" w14:paraId="77FE779D" w14:textId="77777777" w:rsidTr="00176202">
        <w:tc>
          <w:tcPr>
            <w:tcW w:w="2689" w:type="dxa"/>
          </w:tcPr>
          <w:p w14:paraId="092E3887" w14:textId="77777777" w:rsidR="008C2A3F" w:rsidRPr="0064385C" w:rsidRDefault="008C2A3F" w:rsidP="00176202">
            <w:pPr>
              <w:rPr>
                <w:b/>
              </w:rPr>
            </w:pPr>
            <w:r w:rsidRPr="0064385C">
              <w:rPr>
                <w:b/>
              </w:rPr>
              <w:lastRenderedPageBreak/>
              <w:t>Medical Centre or Clinic</w:t>
            </w:r>
            <w:r w:rsidR="0064385C" w:rsidRPr="0064385C">
              <w:rPr>
                <w:b/>
              </w:rPr>
              <w:t>:</w:t>
            </w:r>
          </w:p>
        </w:tc>
        <w:tc>
          <w:tcPr>
            <w:tcW w:w="8073" w:type="dxa"/>
          </w:tcPr>
          <w:p w14:paraId="4D3B537B" w14:textId="77777777" w:rsidR="008C2A3F" w:rsidRDefault="008C2A3F" w:rsidP="00176202"/>
        </w:tc>
      </w:tr>
    </w:tbl>
    <w:p w14:paraId="783FAB62" w14:textId="77777777" w:rsidR="001162FE" w:rsidRDefault="001162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162FE" w14:paraId="0CEFAEF0" w14:textId="77777777" w:rsidTr="00877CF2">
        <w:tc>
          <w:tcPr>
            <w:tcW w:w="2122" w:type="dxa"/>
          </w:tcPr>
          <w:p w14:paraId="3D9EB76D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Signed by issuers</w:t>
            </w:r>
          </w:p>
        </w:tc>
      </w:tr>
    </w:tbl>
    <w:p w14:paraId="6216D499" w14:textId="77777777" w:rsidR="001162FE" w:rsidRDefault="001162FE"/>
    <w:p w14:paraId="20E6E041" w14:textId="77777777" w:rsidR="001162FE" w:rsidRDefault="001162FE">
      <w:r>
        <w:t>Name:</w:t>
      </w:r>
      <w:r>
        <w:tab/>
        <w:t>____________________________</w:t>
      </w:r>
      <w:r>
        <w:tab/>
      </w:r>
      <w:r>
        <w:tab/>
        <w:t>Signature: __________________________</w:t>
      </w:r>
    </w:p>
    <w:p w14:paraId="5435DBF4" w14:textId="77777777" w:rsidR="001162FE" w:rsidRDefault="001162FE">
      <w:r>
        <w:t>Title:</w:t>
      </w:r>
      <w:r>
        <w:tab/>
        <w:t>____________________________</w:t>
      </w:r>
      <w:r>
        <w:tab/>
      </w:r>
      <w:r>
        <w:tab/>
        <w:t>Date: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1162FE" w14:paraId="187EAD15" w14:textId="77777777" w:rsidTr="0064385C">
        <w:trPr>
          <w:trHeight w:val="123"/>
        </w:trPr>
        <w:tc>
          <w:tcPr>
            <w:tcW w:w="4531" w:type="dxa"/>
          </w:tcPr>
          <w:p w14:paraId="3143FE47" w14:textId="77777777" w:rsidR="001162FE" w:rsidRPr="0064385C" w:rsidRDefault="001162FE">
            <w:pPr>
              <w:rPr>
                <w:b/>
              </w:rPr>
            </w:pPr>
            <w:r w:rsidRPr="0064385C">
              <w:rPr>
                <w:b/>
              </w:rPr>
              <w:t>Nurses operating under this standing order</w:t>
            </w:r>
          </w:p>
        </w:tc>
      </w:tr>
    </w:tbl>
    <w:p w14:paraId="4EC2B673" w14:textId="77777777" w:rsidR="001162FE" w:rsidRDefault="001162FE"/>
    <w:p w14:paraId="1EDE3FFB" w14:textId="77777777" w:rsidR="0064385C" w:rsidRDefault="0064385C" w:rsidP="0064385C">
      <w:r>
        <w:t xml:space="preserve">Only Registered nurses working within the above medical centre or clinic are authorised to administer medication under this standing order. </w:t>
      </w:r>
    </w:p>
    <w:p w14:paraId="4F4950BB" w14:textId="77777777" w:rsidR="001162FE" w:rsidRDefault="001162FE">
      <w:r>
        <w:t>We the undersigned agree that we have read, understood and will comply with this standing order and all associated documents.</w:t>
      </w:r>
    </w:p>
    <w:p w14:paraId="4AAAF9E3" w14:textId="77777777" w:rsidR="001162FE" w:rsidRDefault="001162FE"/>
    <w:p w14:paraId="1C415F25" w14:textId="77777777" w:rsidR="001162FE" w:rsidRDefault="001162FE">
      <w:r>
        <w:t>Name: ______________________   Signature: __________________________  Date: ______________</w:t>
      </w:r>
    </w:p>
    <w:p w14:paraId="12EBD494" w14:textId="77777777" w:rsidR="001162FE" w:rsidRDefault="001162FE" w:rsidP="001162FE">
      <w:r>
        <w:t>Name: ______________________   Signature: __________________________  Date: ______________</w:t>
      </w:r>
    </w:p>
    <w:p w14:paraId="7C46E5D6" w14:textId="77777777" w:rsidR="001162FE" w:rsidRDefault="001162FE" w:rsidP="001162FE">
      <w:r>
        <w:t>Name: ______________________   Signature: __________________________  Date: ______________</w:t>
      </w:r>
    </w:p>
    <w:p w14:paraId="46EC4C29" w14:textId="77777777" w:rsidR="000759D3" w:rsidRPr="000759D3" w:rsidRDefault="001162FE" w:rsidP="000759D3">
      <w:r>
        <w:t>Name: ______________________   Signature: ________________</w:t>
      </w:r>
      <w:r w:rsidR="00467EC6">
        <w:t>__________  Date: _____________</w:t>
      </w:r>
      <w:r w:rsidR="00467EC6">
        <w:softHyphen/>
      </w:r>
      <w:r w:rsidR="00467EC6">
        <w:softHyphen/>
        <w:t>_</w:t>
      </w:r>
    </w:p>
    <w:sectPr w:rsidR="000759D3" w:rsidRPr="000759D3" w:rsidSect="00D270A8">
      <w:footerReference w:type="default" r:id="rId15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isa Johnston" w:date="2015-12-18T10:08:00Z" w:initials="LJ">
    <w:p w14:paraId="62C4A199" w14:textId="678DD62B" w:rsidR="00135C54" w:rsidRDefault="00135C54">
      <w:pPr>
        <w:pStyle w:val="CommentText"/>
      </w:pPr>
      <w:r>
        <w:rPr>
          <w:rStyle w:val="CommentReference"/>
        </w:rPr>
        <w:annotationRef/>
      </w:r>
      <w:r>
        <w:t xml:space="preserve">Great, follows Canterbury Pathways. 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C4A1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92CA6" w14:textId="77777777" w:rsidR="00742EB7" w:rsidRDefault="00742EB7" w:rsidP="000759D3">
      <w:pPr>
        <w:spacing w:after="0" w:line="240" w:lineRule="auto"/>
      </w:pPr>
      <w:r>
        <w:separator/>
      </w:r>
    </w:p>
  </w:endnote>
  <w:endnote w:type="continuationSeparator" w:id="0">
    <w:p w14:paraId="09E5970D" w14:textId="77777777" w:rsidR="00742EB7" w:rsidRDefault="00742EB7" w:rsidP="0007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30687" w14:textId="38450A90" w:rsidR="00742EB7" w:rsidRDefault="006C762C">
    <w:pPr>
      <w:pStyle w:val="Footer"/>
    </w:pPr>
    <w:r>
      <w:t>Chest Pain</w:t>
    </w:r>
    <w:r w:rsidR="00742EB7">
      <w:t xml:space="preserve"> Standing Order</w:t>
    </w:r>
    <w:r w:rsidR="00742EB7">
      <w:tab/>
    </w:r>
    <w:r>
      <w:t xml:space="preserve">December </w:t>
    </w:r>
    <w:r w:rsidR="00742EB7">
      <w:t>2015</w:t>
    </w:r>
    <w:r w:rsidR="00742EB7">
      <w:tab/>
      <w:t>WellSouth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1AB18" w14:textId="77777777" w:rsidR="00742EB7" w:rsidRDefault="00742EB7" w:rsidP="000759D3">
      <w:pPr>
        <w:spacing w:after="0" w:line="240" w:lineRule="auto"/>
      </w:pPr>
      <w:r>
        <w:separator/>
      </w:r>
    </w:p>
  </w:footnote>
  <w:footnote w:type="continuationSeparator" w:id="0">
    <w:p w14:paraId="50CD5769" w14:textId="77777777" w:rsidR="00742EB7" w:rsidRDefault="00742EB7" w:rsidP="00075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F533F"/>
    <w:multiLevelType w:val="hybridMultilevel"/>
    <w:tmpl w:val="CF826B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C13EE"/>
    <w:multiLevelType w:val="hybridMultilevel"/>
    <w:tmpl w:val="6CB4C3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676E5"/>
    <w:multiLevelType w:val="hybridMultilevel"/>
    <w:tmpl w:val="27B494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0537C"/>
    <w:multiLevelType w:val="hybridMultilevel"/>
    <w:tmpl w:val="1E7E4C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1223E"/>
    <w:multiLevelType w:val="hybridMultilevel"/>
    <w:tmpl w:val="BEFC61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04A16"/>
    <w:multiLevelType w:val="hybridMultilevel"/>
    <w:tmpl w:val="ED7E8F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FA0931"/>
    <w:multiLevelType w:val="hybridMultilevel"/>
    <w:tmpl w:val="984033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sa Johnston">
    <w15:presenceInfo w15:providerId="AD" w15:userId="S-1-5-21-1874905668-2970955045-3335776668-12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A8"/>
    <w:rsid w:val="000759D3"/>
    <w:rsid w:val="000E47A6"/>
    <w:rsid w:val="0011460F"/>
    <w:rsid w:val="001162FE"/>
    <w:rsid w:val="00123A68"/>
    <w:rsid w:val="00135C54"/>
    <w:rsid w:val="001761AE"/>
    <w:rsid w:val="00176202"/>
    <w:rsid w:val="001813D2"/>
    <w:rsid w:val="00234D6E"/>
    <w:rsid w:val="0042395D"/>
    <w:rsid w:val="00456861"/>
    <w:rsid w:val="00467EC6"/>
    <w:rsid w:val="00476AA6"/>
    <w:rsid w:val="004F0762"/>
    <w:rsid w:val="005212B4"/>
    <w:rsid w:val="005216BC"/>
    <w:rsid w:val="005D000A"/>
    <w:rsid w:val="0064385C"/>
    <w:rsid w:val="00684CCC"/>
    <w:rsid w:val="006C762C"/>
    <w:rsid w:val="006F57FE"/>
    <w:rsid w:val="0070113B"/>
    <w:rsid w:val="007107F6"/>
    <w:rsid w:val="00742EB7"/>
    <w:rsid w:val="00751173"/>
    <w:rsid w:val="007541C6"/>
    <w:rsid w:val="007E2A67"/>
    <w:rsid w:val="00853012"/>
    <w:rsid w:val="00875787"/>
    <w:rsid w:val="00877CF2"/>
    <w:rsid w:val="008C2A3F"/>
    <w:rsid w:val="00A4765B"/>
    <w:rsid w:val="00B54012"/>
    <w:rsid w:val="00CE426F"/>
    <w:rsid w:val="00D270A8"/>
    <w:rsid w:val="00D87F84"/>
    <w:rsid w:val="00DB32CB"/>
    <w:rsid w:val="00DB6744"/>
    <w:rsid w:val="00E05CF3"/>
    <w:rsid w:val="00F00138"/>
    <w:rsid w:val="00FA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4A20D"/>
  <w15:chartTrackingRefBased/>
  <w15:docId w15:val="{D2E9DDCF-23F5-477A-8B59-51F0AA92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6A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62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5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9D3"/>
  </w:style>
  <w:style w:type="paragraph" w:styleId="Footer">
    <w:name w:val="footer"/>
    <w:basedOn w:val="Normal"/>
    <w:link w:val="FooterChar"/>
    <w:uiPriority w:val="99"/>
    <w:unhideWhenUsed/>
    <w:rsid w:val="00075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9D3"/>
  </w:style>
  <w:style w:type="character" w:styleId="CommentReference">
    <w:name w:val="annotation reference"/>
    <w:basedOn w:val="DefaultParagraphFont"/>
    <w:uiPriority w:val="99"/>
    <w:semiHidden/>
    <w:unhideWhenUsed/>
    <w:rsid w:val="00742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E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E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E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34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medsafe.govt.n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zf.org.nz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pac.org.n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healthpathways.org.nz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://www.heartfoundation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1AEFFD05</Template>
  <TotalTime>61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PHO</Company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Leach</dc:creator>
  <cp:keywords/>
  <dc:description/>
  <cp:lastModifiedBy>Lisa Johnston</cp:lastModifiedBy>
  <cp:revision>15</cp:revision>
  <dcterms:created xsi:type="dcterms:W3CDTF">2015-12-15T20:35:00Z</dcterms:created>
  <dcterms:modified xsi:type="dcterms:W3CDTF">2015-12-17T21:09:00Z</dcterms:modified>
</cp:coreProperties>
</file>