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012" w:rsidRPr="001162FE" w:rsidRDefault="00123A68" w:rsidP="001162FE">
      <w:pPr>
        <w:jc w:val="center"/>
        <w:rPr>
          <w:b/>
          <w:sz w:val="28"/>
          <w:szCs w:val="28"/>
        </w:rPr>
      </w:pPr>
      <w:r w:rsidRPr="00123A68">
        <w:rPr>
          <w:noProof/>
          <w:lang w:eastAsia="en-NZ"/>
        </w:rPr>
        <w:drawing>
          <wp:inline distT="0" distB="0" distL="0" distR="0" wp14:anchorId="7ED633EB" wp14:editId="7A92C0F8">
            <wp:extent cx="1866900" cy="622184"/>
            <wp:effectExtent l="0" t="0" r="0" b="6985"/>
            <wp:docPr id="2" name="Picture 2" descr="L:\WellSouth Stationery\Logos\Colour\WS_logo_horizontal\Wellsouth_horizontal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ellSouth Stationery\Logos\Colour\WS_logo_horizontal\Wellsouth_horizontal_hig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400" cy="643013"/>
                    </a:xfrm>
                    <a:prstGeom prst="rect">
                      <a:avLst/>
                    </a:prstGeom>
                    <a:noFill/>
                    <a:ln>
                      <a:noFill/>
                    </a:ln>
                  </pic:spPr>
                </pic:pic>
              </a:graphicData>
            </a:graphic>
          </wp:inline>
        </w:drawing>
      </w:r>
      <w:r>
        <w:rPr>
          <w:b/>
          <w:sz w:val="28"/>
          <w:szCs w:val="28"/>
        </w:rPr>
        <w:t xml:space="preserve">         </w:t>
      </w:r>
      <w:r w:rsidR="003F686D">
        <w:rPr>
          <w:b/>
          <w:sz w:val="28"/>
          <w:szCs w:val="28"/>
        </w:rPr>
        <w:t xml:space="preserve">Chlamydia </w:t>
      </w:r>
      <w:r w:rsidR="001162FE" w:rsidRPr="001162FE">
        <w:rPr>
          <w:b/>
          <w:sz w:val="28"/>
          <w:szCs w:val="28"/>
        </w:rPr>
        <w:t>Standing Order</w:t>
      </w:r>
      <w:r w:rsidRPr="00123A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0" w:type="auto"/>
        <w:jc w:val="center"/>
        <w:tblLook w:val="04A0" w:firstRow="1" w:lastRow="0" w:firstColumn="1" w:lastColumn="0" w:noHBand="0" w:noVBand="1"/>
      </w:tblPr>
      <w:tblGrid>
        <w:gridCol w:w="1555"/>
        <w:gridCol w:w="1984"/>
        <w:gridCol w:w="1843"/>
        <w:gridCol w:w="2268"/>
      </w:tblGrid>
      <w:tr w:rsidR="001162FE" w:rsidTr="00877CF2">
        <w:trPr>
          <w:jc w:val="center"/>
        </w:trPr>
        <w:tc>
          <w:tcPr>
            <w:tcW w:w="1555" w:type="dxa"/>
          </w:tcPr>
          <w:p w:rsidR="001162FE" w:rsidRDefault="001162FE">
            <w:r>
              <w:t>Issue date:</w:t>
            </w:r>
          </w:p>
        </w:tc>
        <w:tc>
          <w:tcPr>
            <w:tcW w:w="1984" w:type="dxa"/>
          </w:tcPr>
          <w:p w:rsidR="001162FE" w:rsidRDefault="001162FE"/>
        </w:tc>
        <w:tc>
          <w:tcPr>
            <w:tcW w:w="1843" w:type="dxa"/>
          </w:tcPr>
          <w:p w:rsidR="001162FE" w:rsidRDefault="001162FE">
            <w:r>
              <w:t>Review date:</w:t>
            </w:r>
          </w:p>
        </w:tc>
        <w:tc>
          <w:tcPr>
            <w:tcW w:w="2268" w:type="dxa"/>
          </w:tcPr>
          <w:p w:rsidR="001162FE" w:rsidRDefault="001162FE"/>
        </w:tc>
      </w:tr>
    </w:tbl>
    <w:p w:rsidR="001162FE" w:rsidRDefault="001162FE"/>
    <w:p w:rsidR="001162FE" w:rsidRDefault="001162FE">
      <w:r>
        <w:t>This standing order is not valid after the review date.</w:t>
      </w:r>
      <w:r w:rsidR="00877CF2">
        <w:t xml:space="preserve"> The review date is one year after the date the order was signed by the issuer.</w:t>
      </w:r>
    </w:p>
    <w:tbl>
      <w:tblPr>
        <w:tblStyle w:val="TableGrid"/>
        <w:tblW w:w="0" w:type="auto"/>
        <w:tblLook w:val="04A0" w:firstRow="1" w:lastRow="0" w:firstColumn="1" w:lastColumn="0" w:noHBand="0" w:noVBand="1"/>
      </w:tblPr>
      <w:tblGrid>
        <w:gridCol w:w="2689"/>
        <w:gridCol w:w="8073"/>
      </w:tblGrid>
      <w:tr w:rsidR="001162FE" w:rsidTr="001162FE">
        <w:tc>
          <w:tcPr>
            <w:tcW w:w="2689" w:type="dxa"/>
          </w:tcPr>
          <w:p w:rsidR="001162FE" w:rsidRPr="0064385C" w:rsidRDefault="00877CF2">
            <w:pPr>
              <w:rPr>
                <w:b/>
              </w:rPr>
            </w:pPr>
            <w:r w:rsidRPr="0064385C">
              <w:rPr>
                <w:b/>
              </w:rPr>
              <w:t>Standing Order Name</w:t>
            </w:r>
          </w:p>
        </w:tc>
        <w:tc>
          <w:tcPr>
            <w:tcW w:w="8073" w:type="dxa"/>
          </w:tcPr>
          <w:p w:rsidR="001162FE" w:rsidRDefault="003F686D">
            <w:r>
              <w:t xml:space="preserve">Chlamydia </w:t>
            </w:r>
          </w:p>
        </w:tc>
      </w:tr>
      <w:tr w:rsidR="001162FE" w:rsidTr="001162FE">
        <w:tc>
          <w:tcPr>
            <w:tcW w:w="2689" w:type="dxa"/>
          </w:tcPr>
          <w:p w:rsidR="001162FE" w:rsidRPr="0064385C" w:rsidRDefault="00877CF2">
            <w:pPr>
              <w:rPr>
                <w:b/>
              </w:rPr>
            </w:pPr>
            <w:r w:rsidRPr="0064385C">
              <w:rPr>
                <w:b/>
              </w:rPr>
              <w:t>Rationale</w:t>
            </w:r>
          </w:p>
        </w:tc>
        <w:tc>
          <w:tcPr>
            <w:tcW w:w="8073" w:type="dxa"/>
          </w:tcPr>
          <w:p w:rsidR="001162FE" w:rsidRDefault="00B52A03" w:rsidP="00156F91">
            <w:r>
              <w:t>To promptly</w:t>
            </w:r>
            <w:r w:rsidR="00156F91" w:rsidRPr="00156F91">
              <w:t xml:space="preserve"> and appropriate</w:t>
            </w:r>
            <w:r>
              <w:t>ly treat</w:t>
            </w:r>
            <w:r w:rsidR="00156F91" w:rsidRPr="00156F91">
              <w:t xml:space="preserve"> patients with </w:t>
            </w:r>
            <w:r w:rsidR="00156F91">
              <w:t>chlamydia</w:t>
            </w:r>
            <w:r w:rsidR="00156F91" w:rsidRPr="00156F91">
              <w:t xml:space="preserve"> and follow-up of contacts</w:t>
            </w:r>
          </w:p>
        </w:tc>
      </w:tr>
      <w:tr w:rsidR="001162FE" w:rsidTr="001162FE">
        <w:tc>
          <w:tcPr>
            <w:tcW w:w="2689" w:type="dxa"/>
          </w:tcPr>
          <w:p w:rsidR="00877CF2" w:rsidRPr="0064385C" w:rsidRDefault="008C2A3F">
            <w:pPr>
              <w:rPr>
                <w:b/>
              </w:rPr>
            </w:pPr>
            <w:r w:rsidRPr="0064385C">
              <w:rPr>
                <w:b/>
              </w:rPr>
              <w:t>Scope (condition and patient group)</w:t>
            </w:r>
          </w:p>
        </w:tc>
        <w:tc>
          <w:tcPr>
            <w:tcW w:w="8073" w:type="dxa"/>
          </w:tcPr>
          <w:p w:rsidR="001162FE" w:rsidRDefault="00156F91">
            <w:r>
              <w:t xml:space="preserve">Adult patients presenting with </w:t>
            </w:r>
            <w:r w:rsidR="00B52A03">
              <w:t>either signs and</w:t>
            </w:r>
            <w:r>
              <w:t xml:space="preserve"> symptoms of chlamydia or have had unprotected sex with someone who has been treated with chlamydia.</w:t>
            </w:r>
          </w:p>
        </w:tc>
      </w:tr>
      <w:tr w:rsidR="000E47A6" w:rsidTr="001162FE">
        <w:tc>
          <w:tcPr>
            <w:tcW w:w="2689" w:type="dxa"/>
          </w:tcPr>
          <w:p w:rsidR="000E47A6" w:rsidRPr="0064385C" w:rsidRDefault="000E47A6">
            <w:pPr>
              <w:rPr>
                <w:b/>
              </w:rPr>
            </w:pPr>
            <w:r>
              <w:rPr>
                <w:b/>
              </w:rPr>
              <w:t>Red Flags</w:t>
            </w:r>
          </w:p>
        </w:tc>
        <w:tc>
          <w:tcPr>
            <w:tcW w:w="8073" w:type="dxa"/>
          </w:tcPr>
          <w:p w:rsidR="000E47A6" w:rsidRDefault="00CB5D26">
            <w:r>
              <w:t>Differential diagnosis with other sexual transmitted diseases.</w:t>
            </w:r>
            <w:r w:rsidR="002C2268">
              <w:t xml:space="preserve"> </w:t>
            </w:r>
          </w:p>
        </w:tc>
      </w:tr>
      <w:tr w:rsidR="001162FE" w:rsidTr="001162FE">
        <w:tc>
          <w:tcPr>
            <w:tcW w:w="2689" w:type="dxa"/>
          </w:tcPr>
          <w:p w:rsidR="001162FE" w:rsidRPr="0064385C" w:rsidRDefault="008C2A3F">
            <w:pPr>
              <w:rPr>
                <w:b/>
              </w:rPr>
            </w:pPr>
            <w:r w:rsidRPr="0064385C">
              <w:rPr>
                <w:b/>
              </w:rPr>
              <w:t>Assessment</w:t>
            </w:r>
          </w:p>
        </w:tc>
        <w:tc>
          <w:tcPr>
            <w:tcW w:w="8073" w:type="dxa"/>
          </w:tcPr>
          <w:p w:rsidR="00327030" w:rsidRDefault="00327030" w:rsidP="00327030">
            <w:r>
              <w:t>Symptoms and signs</w:t>
            </w:r>
          </w:p>
          <w:p w:rsidR="00327030" w:rsidRDefault="00327030" w:rsidP="00327030">
            <w:pPr>
              <w:pStyle w:val="ListParagraph"/>
              <w:numPr>
                <w:ilvl w:val="0"/>
                <w:numId w:val="7"/>
              </w:numPr>
            </w:pPr>
            <w:r>
              <w:t>Chlamydia infection commonly has no signs or symptoms. Symptoms are non-specific.</w:t>
            </w:r>
          </w:p>
          <w:p w:rsidR="003F686D" w:rsidRDefault="003F686D" w:rsidP="003F686D">
            <w:r>
              <w:t>Females</w:t>
            </w:r>
          </w:p>
          <w:p w:rsidR="003F686D" w:rsidRDefault="003F686D" w:rsidP="003F686D">
            <w:r>
              <w:t xml:space="preserve">1. Check for history of vaginal discharge, dysuria, abnormal or inter-menstrual bleeding, lower abdominal pain. </w:t>
            </w:r>
          </w:p>
          <w:p w:rsidR="003F686D" w:rsidRPr="003F686D" w:rsidRDefault="003F686D" w:rsidP="003F686D">
            <w:pPr>
              <w:rPr>
                <w:sz w:val="12"/>
                <w:szCs w:val="12"/>
              </w:rPr>
            </w:pPr>
          </w:p>
          <w:p w:rsidR="003F686D" w:rsidRDefault="003F686D" w:rsidP="003F686D">
            <w:r>
              <w:t xml:space="preserve">2. Examination: </w:t>
            </w:r>
          </w:p>
          <w:p w:rsidR="00282385" w:rsidRDefault="00282385" w:rsidP="003F686D">
            <w:pPr>
              <w:pStyle w:val="ListParagraph"/>
              <w:numPr>
                <w:ilvl w:val="0"/>
                <w:numId w:val="2"/>
              </w:numPr>
            </w:pPr>
            <w:proofErr w:type="spellStart"/>
            <w:r>
              <w:t>Obs</w:t>
            </w:r>
            <w:proofErr w:type="spellEnd"/>
            <w:r>
              <w:t xml:space="preserve"> including temperature, pulse, BP</w:t>
            </w:r>
          </w:p>
          <w:p w:rsidR="003F686D" w:rsidRDefault="003F686D" w:rsidP="003F686D">
            <w:pPr>
              <w:pStyle w:val="ListParagraph"/>
              <w:numPr>
                <w:ilvl w:val="0"/>
                <w:numId w:val="2"/>
              </w:numPr>
            </w:pPr>
            <w:r>
              <w:t xml:space="preserve">Exclude pregnancy. </w:t>
            </w:r>
          </w:p>
          <w:p w:rsidR="003F686D" w:rsidRDefault="003F686D" w:rsidP="003F686D">
            <w:pPr>
              <w:pStyle w:val="ListParagraph"/>
              <w:numPr>
                <w:ilvl w:val="0"/>
                <w:numId w:val="2"/>
              </w:numPr>
            </w:pPr>
            <w:r>
              <w:t xml:space="preserve">If patient is asymptomatic, perform a clinician-collected or a self-collected vulvovaginal nucleic acid amplification test (NAAT) chlamydia swab. </w:t>
            </w:r>
          </w:p>
          <w:p w:rsidR="003F686D" w:rsidRDefault="003F686D" w:rsidP="003F686D">
            <w:pPr>
              <w:pStyle w:val="ListParagraph"/>
              <w:numPr>
                <w:ilvl w:val="0"/>
                <w:numId w:val="2"/>
              </w:numPr>
            </w:pPr>
            <w:r>
              <w:t xml:space="preserve">If anal receptive sex, arrange an anorectal swab for chlamydia and gonorrhoea. </w:t>
            </w:r>
          </w:p>
          <w:p w:rsidR="003F686D" w:rsidRDefault="00367896" w:rsidP="003F686D">
            <w:pPr>
              <w:pStyle w:val="ListParagraph"/>
              <w:numPr>
                <w:ilvl w:val="0"/>
                <w:numId w:val="2"/>
              </w:numPr>
            </w:pPr>
            <w:r>
              <w:t>If symptomatic, medical or nurse practitioner</w:t>
            </w:r>
            <w:r w:rsidR="003F686D">
              <w:t xml:space="preserve"> examination is necessary. </w:t>
            </w:r>
          </w:p>
          <w:p w:rsidR="003F686D" w:rsidRDefault="003F686D" w:rsidP="003F686D">
            <w:pPr>
              <w:pStyle w:val="ListParagraph"/>
              <w:numPr>
                <w:ilvl w:val="0"/>
                <w:numId w:val="2"/>
              </w:numPr>
            </w:pPr>
            <w:r>
              <w:t>Pelvic bimanual examination if symptoms suggestive of Pelvic Inflammatory Disease (PID).</w:t>
            </w:r>
          </w:p>
          <w:p w:rsidR="003F686D" w:rsidRDefault="003F686D" w:rsidP="003F686D">
            <w:r>
              <w:t>Males</w:t>
            </w:r>
          </w:p>
          <w:p w:rsidR="003F686D" w:rsidRDefault="003F686D" w:rsidP="003F686D">
            <w:r>
              <w:t xml:space="preserve">1. Check for history of urethral discharge, dysuria, urethral irritation, testicular pain and/or swelling. </w:t>
            </w:r>
          </w:p>
          <w:p w:rsidR="003F686D" w:rsidRPr="003F686D" w:rsidRDefault="003F686D" w:rsidP="003F686D">
            <w:pPr>
              <w:rPr>
                <w:sz w:val="12"/>
                <w:szCs w:val="12"/>
              </w:rPr>
            </w:pPr>
          </w:p>
          <w:p w:rsidR="003F686D" w:rsidRDefault="003F686D" w:rsidP="003F686D">
            <w:r>
              <w:t xml:space="preserve">2. Examination: </w:t>
            </w:r>
          </w:p>
          <w:p w:rsidR="003F686D" w:rsidRDefault="003F686D" w:rsidP="003F686D">
            <w:pPr>
              <w:pStyle w:val="ListParagraph"/>
              <w:numPr>
                <w:ilvl w:val="0"/>
                <w:numId w:val="2"/>
              </w:numPr>
            </w:pPr>
            <w:r>
              <w:t xml:space="preserve">Check for urethral discharge (may be clear, milky, or mucopurulent). </w:t>
            </w:r>
          </w:p>
          <w:p w:rsidR="003F686D" w:rsidRDefault="003F686D" w:rsidP="003F686D">
            <w:pPr>
              <w:pStyle w:val="ListParagraph"/>
              <w:numPr>
                <w:ilvl w:val="0"/>
                <w:numId w:val="2"/>
              </w:numPr>
            </w:pPr>
            <w:r>
              <w:t xml:space="preserve">Signs of </w:t>
            </w:r>
            <w:proofErr w:type="spellStart"/>
            <w:r>
              <w:t>epididymo-orchitis</w:t>
            </w:r>
            <w:proofErr w:type="spellEnd"/>
            <w:r>
              <w:t xml:space="preserve">. </w:t>
            </w:r>
          </w:p>
          <w:p w:rsidR="003F686D" w:rsidRDefault="003F686D" w:rsidP="003F686D">
            <w:pPr>
              <w:pStyle w:val="ListParagraph"/>
              <w:numPr>
                <w:ilvl w:val="0"/>
                <w:numId w:val="2"/>
              </w:numPr>
            </w:pPr>
            <w:r>
              <w:t xml:space="preserve">First catch urine – first 15 to 30 mL of urinary stream, preferably at least 1 hour after patient has last passed urine. </w:t>
            </w:r>
          </w:p>
          <w:p w:rsidR="003F686D" w:rsidRPr="003F686D" w:rsidRDefault="003F686D" w:rsidP="003F686D">
            <w:pPr>
              <w:pStyle w:val="ListParagraph"/>
              <w:ind w:left="1080"/>
              <w:rPr>
                <w:sz w:val="12"/>
                <w:szCs w:val="12"/>
              </w:rPr>
            </w:pPr>
          </w:p>
          <w:p w:rsidR="001162FE" w:rsidRDefault="003F686D" w:rsidP="003F686D">
            <w:r>
              <w:t xml:space="preserve">Note: Rectal infection is also transmitted through finger insertion, toy insertion, or oral-anal sex. Rectal infections in both sexes are usually asymptomatic, but may present with anal discharge, anal bleeding, or </w:t>
            </w:r>
            <w:proofErr w:type="spellStart"/>
            <w:r>
              <w:t>proctitis</w:t>
            </w:r>
            <w:proofErr w:type="spellEnd"/>
            <w:r>
              <w:t>.</w:t>
            </w:r>
            <w:r w:rsidR="00566F28">
              <w:t xml:space="preserve"> If present need a GP or NP assessment.</w:t>
            </w:r>
            <w:bookmarkStart w:id="0" w:name="_GoBack"/>
            <w:bookmarkEnd w:id="0"/>
          </w:p>
        </w:tc>
      </w:tr>
      <w:tr w:rsidR="00E84FC5" w:rsidRPr="00C75D1D" w:rsidTr="00E84FC5">
        <w:tc>
          <w:tcPr>
            <w:tcW w:w="2689" w:type="dxa"/>
          </w:tcPr>
          <w:p w:rsidR="00E84FC5" w:rsidRPr="0064385C" w:rsidRDefault="00E84FC5" w:rsidP="00E84FC5">
            <w:pPr>
              <w:rPr>
                <w:b/>
              </w:rPr>
            </w:pPr>
            <w:r>
              <w:rPr>
                <w:b/>
              </w:rPr>
              <w:t>Indication</w:t>
            </w:r>
          </w:p>
        </w:tc>
        <w:tc>
          <w:tcPr>
            <w:tcW w:w="8073" w:type="dxa"/>
          </w:tcPr>
          <w:p w:rsidR="00E84FC5" w:rsidRPr="00C75D1D" w:rsidRDefault="00E84FC5" w:rsidP="00E84FC5">
            <w:pPr>
              <w:rPr>
                <w:b/>
              </w:rPr>
            </w:pPr>
            <w:r>
              <w:rPr>
                <w:b/>
              </w:rPr>
              <w:t xml:space="preserve">Treatment of </w:t>
            </w:r>
            <w:r w:rsidRPr="00282385">
              <w:rPr>
                <w:b/>
                <w:u w:val="single"/>
              </w:rPr>
              <w:t>uncomplicated</w:t>
            </w:r>
            <w:r w:rsidRPr="00C75D1D">
              <w:rPr>
                <w:b/>
              </w:rPr>
              <w:t xml:space="preserve"> chlamydial </w:t>
            </w:r>
            <w:r>
              <w:rPr>
                <w:b/>
              </w:rPr>
              <w:t xml:space="preserve">infections </w:t>
            </w:r>
          </w:p>
        </w:tc>
      </w:tr>
      <w:tr w:rsidR="00E84FC5" w:rsidTr="00E84FC5">
        <w:tc>
          <w:tcPr>
            <w:tcW w:w="2689" w:type="dxa"/>
          </w:tcPr>
          <w:p w:rsidR="00E84FC5" w:rsidRPr="0064385C" w:rsidRDefault="00E84FC5" w:rsidP="00E84FC5">
            <w:pPr>
              <w:rPr>
                <w:b/>
              </w:rPr>
            </w:pPr>
            <w:r w:rsidRPr="0064385C">
              <w:rPr>
                <w:b/>
              </w:rPr>
              <w:t>Medicine</w:t>
            </w:r>
          </w:p>
        </w:tc>
        <w:tc>
          <w:tcPr>
            <w:tcW w:w="8073" w:type="dxa"/>
          </w:tcPr>
          <w:p w:rsidR="00E84FC5" w:rsidRDefault="00E84FC5" w:rsidP="00E84FC5">
            <w:r w:rsidRPr="00E84FC5">
              <w:rPr>
                <w:b/>
              </w:rPr>
              <w:t>Doxycycline</w:t>
            </w:r>
            <w:r>
              <w:t xml:space="preserve"> 100mg tablets</w:t>
            </w:r>
          </w:p>
        </w:tc>
      </w:tr>
      <w:tr w:rsidR="00E84FC5" w:rsidTr="00E84FC5">
        <w:tc>
          <w:tcPr>
            <w:tcW w:w="2689" w:type="dxa"/>
          </w:tcPr>
          <w:p w:rsidR="00E84FC5" w:rsidRPr="0064385C" w:rsidRDefault="00E84FC5" w:rsidP="00E84FC5">
            <w:pPr>
              <w:rPr>
                <w:b/>
              </w:rPr>
            </w:pPr>
            <w:r w:rsidRPr="0064385C">
              <w:rPr>
                <w:b/>
              </w:rPr>
              <w:t>Dosage instructions</w:t>
            </w:r>
          </w:p>
        </w:tc>
        <w:tc>
          <w:tcPr>
            <w:tcW w:w="8073" w:type="dxa"/>
          </w:tcPr>
          <w:p w:rsidR="00E84FC5" w:rsidRDefault="00E84FC5" w:rsidP="00E84FC5">
            <w:r>
              <w:t>100mg TWICE daily for 7 days</w:t>
            </w:r>
          </w:p>
        </w:tc>
      </w:tr>
      <w:tr w:rsidR="00E84FC5" w:rsidTr="00E84FC5">
        <w:tc>
          <w:tcPr>
            <w:tcW w:w="2689" w:type="dxa"/>
          </w:tcPr>
          <w:p w:rsidR="00E84FC5" w:rsidRPr="0064385C" w:rsidRDefault="00E84FC5" w:rsidP="00E84FC5">
            <w:pPr>
              <w:rPr>
                <w:b/>
              </w:rPr>
            </w:pPr>
            <w:r w:rsidRPr="0064385C">
              <w:rPr>
                <w:b/>
              </w:rPr>
              <w:t>Route of administration</w:t>
            </w:r>
          </w:p>
        </w:tc>
        <w:tc>
          <w:tcPr>
            <w:tcW w:w="8073" w:type="dxa"/>
          </w:tcPr>
          <w:p w:rsidR="00E84FC5" w:rsidRDefault="00E84FC5" w:rsidP="00E84FC5">
            <w:r>
              <w:t>Oral</w:t>
            </w:r>
          </w:p>
        </w:tc>
      </w:tr>
      <w:tr w:rsidR="00E84FC5" w:rsidTr="00E84FC5">
        <w:tc>
          <w:tcPr>
            <w:tcW w:w="2689" w:type="dxa"/>
          </w:tcPr>
          <w:p w:rsidR="00E84FC5" w:rsidRPr="0064385C" w:rsidRDefault="00E84FC5" w:rsidP="00E84FC5">
            <w:pPr>
              <w:rPr>
                <w:b/>
              </w:rPr>
            </w:pPr>
            <w:r>
              <w:rPr>
                <w:b/>
              </w:rPr>
              <w:t>Quantity to be given</w:t>
            </w:r>
          </w:p>
        </w:tc>
        <w:tc>
          <w:tcPr>
            <w:tcW w:w="8073" w:type="dxa"/>
          </w:tcPr>
          <w:p w:rsidR="00E84FC5" w:rsidRDefault="00E84FC5" w:rsidP="00E84FC5">
            <w:r>
              <w:t>14 x 100mg tabs</w:t>
            </w:r>
          </w:p>
        </w:tc>
      </w:tr>
      <w:tr w:rsidR="00CD15A6" w:rsidTr="00CD15A6">
        <w:tc>
          <w:tcPr>
            <w:tcW w:w="2689" w:type="dxa"/>
          </w:tcPr>
          <w:p w:rsidR="00CD15A6" w:rsidRPr="0064385C" w:rsidRDefault="00CD15A6" w:rsidP="00CD15A6">
            <w:pPr>
              <w:rPr>
                <w:b/>
              </w:rPr>
            </w:pPr>
            <w:r w:rsidRPr="0064385C">
              <w:rPr>
                <w:b/>
              </w:rPr>
              <w:t>Contraindications</w:t>
            </w:r>
          </w:p>
        </w:tc>
        <w:tc>
          <w:tcPr>
            <w:tcW w:w="8073" w:type="dxa"/>
          </w:tcPr>
          <w:p w:rsidR="00CD15A6" w:rsidRDefault="00CD15A6" w:rsidP="00CD15A6">
            <w:r>
              <w:t xml:space="preserve">Allergy to </w:t>
            </w:r>
            <w:proofErr w:type="spellStart"/>
            <w:r>
              <w:t>tetracyclines</w:t>
            </w:r>
            <w:proofErr w:type="spellEnd"/>
          </w:p>
          <w:p w:rsidR="00CD15A6" w:rsidRDefault="00CD15A6" w:rsidP="00CD15A6">
            <w:r>
              <w:t>Pregnancy or breastfeeding</w:t>
            </w:r>
          </w:p>
          <w:p w:rsidR="00CD15A6" w:rsidRDefault="00CD15A6" w:rsidP="00CD15A6">
            <w:r>
              <w:t xml:space="preserve">Concurrent use of </w:t>
            </w:r>
            <w:proofErr w:type="spellStart"/>
            <w:r>
              <w:t>retinoids</w:t>
            </w:r>
            <w:proofErr w:type="spellEnd"/>
            <w:r>
              <w:t xml:space="preserve"> or </w:t>
            </w:r>
            <w:proofErr w:type="spellStart"/>
            <w:r>
              <w:t>acitretins</w:t>
            </w:r>
            <w:proofErr w:type="spellEnd"/>
            <w:r w:rsidR="00DF4DF7">
              <w:t xml:space="preserve"> (vitamin A derivatives)</w:t>
            </w:r>
          </w:p>
        </w:tc>
      </w:tr>
      <w:tr w:rsidR="00CD15A6" w:rsidTr="00CD15A6">
        <w:tc>
          <w:tcPr>
            <w:tcW w:w="2689" w:type="dxa"/>
            <w:tcBorders>
              <w:bottom w:val="single" w:sz="4" w:space="0" w:color="auto"/>
            </w:tcBorders>
          </w:tcPr>
          <w:p w:rsidR="00CD15A6" w:rsidRPr="0064385C" w:rsidRDefault="00CD15A6" w:rsidP="00CD15A6">
            <w:pPr>
              <w:rPr>
                <w:b/>
              </w:rPr>
            </w:pPr>
            <w:r w:rsidRPr="0064385C">
              <w:rPr>
                <w:b/>
              </w:rPr>
              <w:t>Precautions</w:t>
            </w:r>
          </w:p>
        </w:tc>
        <w:tc>
          <w:tcPr>
            <w:tcW w:w="8073" w:type="dxa"/>
            <w:tcBorders>
              <w:bottom w:val="single" w:sz="4" w:space="0" w:color="auto"/>
            </w:tcBorders>
          </w:tcPr>
          <w:p w:rsidR="00CD15A6" w:rsidRDefault="00DF4DF7" w:rsidP="00CD15A6">
            <w:pPr>
              <w:pStyle w:val="ListParagraph"/>
              <w:numPr>
                <w:ilvl w:val="0"/>
                <w:numId w:val="4"/>
              </w:numPr>
            </w:pPr>
            <w:r>
              <w:t>Iron and calcium tablets and antacids can reduce absorption</w:t>
            </w:r>
          </w:p>
          <w:p w:rsidR="00DF4DF7" w:rsidRDefault="00DF4DF7" w:rsidP="00CD15A6">
            <w:pPr>
              <w:pStyle w:val="ListParagraph"/>
              <w:numPr>
                <w:ilvl w:val="0"/>
                <w:numId w:val="4"/>
              </w:numPr>
            </w:pPr>
            <w:r>
              <w:t xml:space="preserve">Check </w:t>
            </w:r>
            <w:hyperlink r:id="rId8" w:history="1">
              <w:r w:rsidRPr="00E73418">
                <w:rPr>
                  <w:rStyle w:val="Hyperlink"/>
                </w:rPr>
                <w:t>www.nzf.org.nz</w:t>
              </w:r>
            </w:hyperlink>
            <w:r>
              <w:t xml:space="preserve"> for other interactions </w:t>
            </w:r>
          </w:p>
        </w:tc>
      </w:tr>
      <w:tr w:rsidR="00E84FC5" w:rsidRPr="00C75D1D" w:rsidTr="00E84FC5">
        <w:tc>
          <w:tcPr>
            <w:tcW w:w="2689" w:type="dxa"/>
          </w:tcPr>
          <w:p w:rsidR="00E84FC5" w:rsidRPr="0064385C" w:rsidRDefault="00E84FC5" w:rsidP="00E84FC5">
            <w:pPr>
              <w:rPr>
                <w:b/>
              </w:rPr>
            </w:pPr>
            <w:r>
              <w:rPr>
                <w:b/>
              </w:rPr>
              <w:lastRenderedPageBreak/>
              <w:t>Indication</w:t>
            </w:r>
          </w:p>
        </w:tc>
        <w:tc>
          <w:tcPr>
            <w:tcW w:w="8073" w:type="dxa"/>
          </w:tcPr>
          <w:p w:rsidR="00E84FC5" w:rsidRPr="00C75D1D" w:rsidRDefault="00CD15A6" w:rsidP="00CD15A6">
            <w:pPr>
              <w:rPr>
                <w:b/>
              </w:rPr>
            </w:pPr>
            <w:r>
              <w:rPr>
                <w:b/>
              </w:rPr>
              <w:t>2</w:t>
            </w:r>
            <w:r w:rsidRPr="00CD15A6">
              <w:rPr>
                <w:b/>
                <w:vertAlign w:val="superscript"/>
              </w:rPr>
              <w:t>nd</w:t>
            </w:r>
            <w:r>
              <w:rPr>
                <w:b/>
              </w:rPr>
              <w:t xml:space="preserve"> line t</w:t>
            </w:r>
            <w:r w:rsidR="00E84FC5">
              <w:rPr>
                <w:b/>
              </w:rPr>
              <w:t xml:space="preserve">reatment of </w:t>
            </w:r>
            <w:r w:rsidR="00E84FC5" w:rsidRPr="00282385">
              <w:rPr>
                <w:b/>
                <w:u w:val="single"/>
              </w:rPr>
              <w:t>uncomplicated</w:t>
            </w:r>
            <w:r w:rsidR="00E84FC5" w:rsidRPr="00C75D1D">
              <w:rPr>
                <w:b/>
              </w:rPr>
              <w:t xml:space="preserve"> chlamydial </w:t>
            </w:r>
            <w:r w:rsidR="00E84FC5">
              <w:rPr>
                <w:b/>
              </w:rPr>
              <w:t xml:space="preserve">infections for patients </w:t>
            </w:r>
            <w:r w:rsidRPr="00CD15A6">
              <w:rPr>
                <w:b/>
                <w:u w:val="single"/>
              </w:rPr>
              <w:t>non-compliant</w:t>
            </w:r>
            <w:r>
              <w:rPr>
                <w:b/>
              </w:rPr>
              <w:t xml:space="preserve"> </w:t>
            </w:r>
            <w:r w:rsidR="00E84FC5">
              <w:rPr>
                <w:b/>
              </w:rPr>
              <w:t>with doxycycline above</w:t>
            </w:r>
          </w:p>
        </w:tc>
      </w:tr>
      <w:tr w:rsidR="001162FE" w:rsidTr="001162FE">
        <w:tc>
          <w:tcPr>
            <w:tcW w:w="2689" w:type="dxa"/>
          </w:tcPr>
          <w:p w:rsidR="001162FE" w:rsidRPr="0064385C" w:rsidRDefault="00877CF2">
            <w:pPr>
              <w:rPr>
                <w:b/>
              </w:rPr>
            </w:pPr>
            <w:r w:rsidRPr="0064385C">
              <w:rPr>
                <w:b/>
              </w:rPr>
              <w:t>Medicine</w:t>
            </w:r>
          </w:p>
        </w:tc>
        <w:tc>
          <w:tcPr>
            <w:tcW w:w="8073" w:type="dxa"/>
          </w:tcPr>
          <w:p w:rsidR="001162FE" w:rsidRDefault="00AE6781" w:rsidP="00AE6781">
            <w:r w:rsidRPr="009B6197">
              <w:rPr>
                <w:b/>
              </w:rPr>
              <w:t>Azithromycin</w:t>
            </w:r>
            <w:r w:rsidRPr="00AE6781">
              <w:t xml:space="preserve"> </w:t>
            </w:r>
            <w:r>
              <w:t>500mg tablets</w:t>
            </w:r>
          </w:p>
        </w:tc>
      </w:tr>
      <w:tr w:rsidR="001162FE" w:rsidTr="001162FE">
        <w:tc>
          <w:tcPr>
            <w:tcW w:w="2689" w:type="dxa"/>
          </w:tcPr>
          <w:p w:rsidR="00877CF2" w:rsidRPr="0064385C" w:rsidRDefault="00877CF2">
            <w:pPr>
              <w:rPr>
                <w:b/>
              </w:rPr>
            </w:pPr>
            <w:r w:rsidRPr="0064385C">
              <w:rPr>
                <w:b/>
              </w:rPr>
              <w:t>Dosage instructions</w:t>
            </w:r>
          </w:p>
        </w:tc>
        <w:tc>
          <w:tcPr>
            <w:tcW w:w="8073" w:type="dxa"/>
          </w:tcPr>
          <w:p w:rsidR="001162FE" w:rsidRDefault="00AE6781">
            <w:r w:rsidRPr="00AE6781">
              <w:t>1 g immediately</w:t>
            </w:r>
          </w:p>
        </w:tc>
      </w:tr>
      <w:tr w:rsidR="001162FE" w:rsidTr="001162FE">
        <w:tc>
          <w:tcPr>
            <w:tcW w:w="2689" w:type="dxa"/>
          </w:tcPr>
          <w:p w:rsidR="001162FE" w:rsidRPr="0064385C" w:rsidRDefault="00877CF2">
            <w:pPr>
              <w:rPr>
                <w:b/>
              </w:rPr>
            </w:pPr>
            <w:r w:rsidRPr="0064385C">
              <w:rPr>
                <w:b/>
              </w:rPr>
              <w:t>Route of administration</w:t>
            </w:r>
          </w:p>
        </w:tc>
        <w:tc>
          <w:tcPr>
            <w:tcW w:w="8073" w:type="dxa"/>
          </w:tcPr>
          <w:p w:rsidR="001162FE" w:rsidRDefault="00AE6781">
            <w:r>
              <w:t>Oral</w:t>
            </w:r>
          </w:p>
        </w:tc>
      </w:tr>
      <w:tr w:rsidR="001162FE" w:rsidTr="001162FE">
        <w:tc>
          <w:tcPr>
            <w:tcW w:w="2689" w:type="dxa"/>
          </w:tcPr>
          <w:p w:rsidR="001162FE" w:rsidRPr="0064385C" w:rsidRDefault="0064385C" w:rsidP="0064385C">
            <w:pPr>
              <w:rPr>
                <w:b/>
              </w:rPr>
            </w:pPr>
            <w:r>
              <w:rPr>
                <w:b/>
              </w:rPr>
              <w:t>Quantity to be given</w:t>
            </w:r>
          </w:p>
        </w:tc>
        <w:tc>
          <w:tcPr>
            <w:tcW w:w="8073" w:type="dxa"/>
          </w:tcPr>
          <w:p w:rsidR="001162FE" w:rsidRDefault="00AE6781">
            <w:r>
              <w:t>2 x 500mg tablets</w:t>
            </w:r>
          </w:p>
        </w:tc>
      </w:tr>
      <w:tr w:rsidR="001162FE" w:rsidTr="001162FE">
        <w:tc>
          <w:tcPr>
            <w:tcW w:w="2689" w:type="dxa"/>
          </w:tcPr>
          <w:p w:rsidR="001162FE" w:rsidRPr="0064385C" w:rsidRDefault="00877CF2">
            <w:pPr>
              <w:rPr>
                <w:b/>
              </w:rPr>
            </w:pPr>
            <w:r w:rsidRPr="0064385C">
              <w:rPr>
                <w:b/>
              </w:rPr>
              <w:t>Contraindications</w:t>
            </w:r>
          </w:p>
        </w:tc>
        <w:tc>
          <w:tcPr>
            <w:tcW w:w="8073" w:type="dxa"/>
          </w:tcPr>
          <w:p w:rsidR="001162FE" w:rsidRDefault="00AE6781">
            <w:r>
              <w:t>C</w:t>
            </w:r>
            <w:r w:rsidRPr="00AE6781">
              <w:t>oncomitant colchicine in patients with hepatic or renal impairment (increased risk of colchicine toxicity)</w:t>
            </w:r>
          </w:p>
        </w:tc>
      </w:tr>
      <w:tr w:rsidR="001162FE" w:rsidTr="009B6197">
        <w:tc>
          <w:tcPr>
            <w:tcW w:w="2689" w:type="dxa"/>
            <w:tcBorders>
              <w:bottom w:val="single" w:sz="4" w:space="0" w:color="auto"/>
            </w:tcBorders>
          </w:tcPr>
          <w:p w:rsidR="001162FE" w:rsidRPr="0064385C" w:rsidRDefault="00877CF2">
            <w:pPr>
              <w:rPr>
                <w:b/>
              </w:rPr>
            </w:pPr>
            <w:r w:rsidRPr="0064385C">
              <w:rPr>
                <w:b/>
              </w:rPr>
              <w:t>Precautions</w:t>
            </w:r>
          </w:p>
        </w:tc>
        <w:tc>
          <w:tcPr>
            <w:tcW w:w="8073" w:type="dxa"/>
            <w:tcBorders>
              <w:bottom w:val="single" w:sz="4" w:space="0" w:color="auto"/>
            </w:tcBorders>
          </w:tcPr>
          <w:p w:rsidR="001162FE" w:rsidRDefault="00AE6781" w:rsidP="00AE6781">
            <w:pPr>
              <w:pStyle w:val="ListParagraph"/>
              <w:numPr>
                <w:ilvl w:val="0"/>
                <w:numId w:val="4"/>
              </w:numPr>
            </w:pPr>
            <w:r>
              <w:t>W</w:t>
            </w:r>
            <w:r w:rsidRPr="00AE6781">
              <w:t>arfarin—monitor INR 3 days after starting antibiotics</w:t>
            </w:r>
          </w:p>
          <w:p w:rsidR="00DF4DF7" w:rsidRDefault="00DF4DF7" w:rsidP="00AE6781">
            <w:pPr>
              <w:pStyle w:val="ListParagraph"/>
              <w:numPr>
                <w:ilvl w:val="0"/>
                <w:numId w:val="4"/>
              </w:numPr>
            </w:pPr>
            <w:r w:rsidRPr="00DF4DF7">
              <w:t xml:space="preserve">Check </w:t>
            </w:r>
            <w:hyperlink r:id="rId9" w:history="1">
              <w:r w:rsidRPr="00DF4DF7">
                <w:rPr>
                  <w:rStyle w:val="Hyperlink"/>
                </w:rPr>
                <w:t>www.nzf.org.nz</w:t>
              </w:r>
            </w:hyperlink>
            <w:r w:rsidRPr="00DF4DF7">
              <w:t xml:space="preserve"> for other interactions </w:t>
            </w:r>
          </w:p>
          <w:p w:rsidR="004D6AD1" w:rsidRDefault="004D6AD1" w:rsidP="00AE6781">
            <w:pPr>
              <w:pStyle w:val="ListParagraph"/>
              <w:numPr>
                <w:ilvl w:val="0"/>
                <w:numId w:val="4"/>
              </w:numPr>
            </w:pPr>
            <w:r>
              <w:t>Pregnancy- category B1</w:t>
            </w:r>
          </w:p>
        </w:tc>
      </w:tr>
      <w:tr w:rsidR="00AE6781" w:rsidRPr="009B6197" w:rsidTr="009B6197">
        <w:tc>
          <w:tcPr>
            <w:tcW w:w="2689" w:type="dxa"/>
            <w:tcBorders>
              <w:right w:val="nil"/>
            </w:tcBorders>
          </w:tcPr>
          <w:p w:rsidR="00AE6781" w:rsidRPr="009B6197" w:rsidRDefault="00AE6781">
            <w:pPr>
              <w:rPr>
                <w:b/>
                <w:sz w:val="12"/>
                <w:szCs w:val="12"/>
              </w:rPr>
            </w:pPr>
          </w:p>
        </w:tc>
        <w:tc>
          <w:tcPr>
            <w:tcW w:w="8073" w:type="dxa"/>
            <w:tcBorders>
              <w:left w:val="nil"/>
            </w:tcBorders>
          </w:tcPr>
          <w:p w:rsidR="00AE6781" w:rsidRPr="009B6197" w:rsidRDefault="00AE6781">
            <w:pPr>
              <w:rPr>
                <w:sz w:val="12"/>
                <w:szCs w:val="12"/>
              </w:rPr>
            </w:pPr>
          </w:p>
        </w:tc>
      </w:tr>
      <w:tr w:rsidR="00AE6781" w:rsidTr="00AE6781">
        <w:tc>
          <w:tcPr>
            <w:tcW w:w="2689" w:type="dxa"/>
          </w:tcPr>
          <w:p w:rsidR="00AE6781" w:rsidRPr="0064385C" w:rsidRDefault="00AE6781" w:rsidP="00AE6781">
            <w:pPr>
              <w:rPr>
                <w:b/>
              </w:rPr>
            </w:pPr>
            <w:r>
              <w:rPr>
                <w:b/>
              </w:rPr>
              <w:t>Indication</w:t>
            </w:r>
          </w:p>
        </w:tc>
        <w:tc>
          <w:tcPr>
            <w:tcW w:w="8073" w:type="dxa"/>
          </w:tcPr>
          <w:p w:rsidR="00AE6781" w:rsidRPr="00C75D1D" w:rsidRDefault="002C2268" w:rsidP="00282385">
            <w:pPr>
              <w:rPr>
                <w:b/>
              </w:rPr>
            </w:pPr>
            <w:r>
              <w:rPr>
                <w:b/>
              </w:rPr>
              <w:t>Alternative regimen in</w:t>
            </w:r>
            <w:r w:rsidR="007C3BAD">
              <w:rPr>
                <w:b/>
              </w:rPr>
              <w:t xml:space="preserve"> </w:t>
            </w:r>
            <w:r>
              <w:rPr>
                <w:b/>
              </w:rPr>
              <w:t>pregnancy</w:t>
            </w:r>
            <w:r w:rsidR="00282385">
              <w:rPr>
                <w:b/>
              </w:rPr>
              <w:t xml:space="preserve"> (category A) or </w:t>
            </w:r>
            <w:r>
              <w:rPr>
                <w:b/>
              </w:rPr>
              <w:t xml:space="preserve"> if azithromycin is contraindicated</w:t>
            </w:r>
            <w:r w:rsidR="00282385">
              <w:rPr>
                <w:b/>
              </w:rPr>
              <w:t xml:space="preserve">, to treat </w:t>
            </w:r>
            <w:r w:rsidR="007C3BAD" w:rsidRPr="00282385">
              <w:rPr>
                <w:b/>
                <w:u w:val="single"/>
              </w:rPr>
              <w:t>uncomplicated</w:t>
            </w:r>
            <w:r w:rsidR="007C3BAD">
              <w:rPr>
                <w:b/>
              </w:rPr>
              <w:t xml:space="preserve"> chlamydial infections</w:t>
            </w:r>
          </w:p>
        </w:tc>
      </w:tr>
      <w:tr w:rsidR="00AE6781" w:rsidTr="00AE6781">
        <w:tc>
          <w:tcPr>
            <w:tcW w:w="2689" w:type="dxa"/>
          </w:tcPr>
          <w:p w:rsidR="00AE6781" w:rsidRPr="0064385C" w:rsidRDefault="00AE6781" w:rsidP="00AE6781">
            <w:pPr>
              <w:rPr>
                <w:b/>
              </w:rPr>
            </w:pPr>
            <w:r w:rsidRPr="0064385C">
              <w:rPr>
                <w:b/>
              </w:rPr>
              <w:t>Medicine</w:t>
            </w:r>
          </w:p>
        </w:tc>
        <w:tc>
          <w:tcPr>
            <w:tcW w:w="8073" w:type="dxa"/>
          </w:tcPr>
          <w:p w:rsidR="00AE6781" w:rsidRDefault="007C3BAD" w:rsidP="00AE6781">
            <w:r w:rsidRPr="009B6197">
              <w:rPr>
                <w:b/>
              </w:rPr>
              <w:t>Amoxicillin</w:t>
            </w:r>
            <w:r>
              <w:t xml:space="preserve"> 500mg capsules</w:t>
            </w:r>
          </w:p>
        </w:tc>
      </w:tr>
      <w:tr w:rsidR="00AE6781" w:rsidTr="00AE6781">
        <w:tc>
          <w:tcPr>
            <w:tcW w:w="2689" w:type="dxa"/>
          </w:tcPr>
          <w:p w:rsidR="00AE6781" w:rsidRPr="0064385C" w:rsidRDefault="00AE6781" w:rsidP="00AE6781">
            <w:pPr>
              <w:rPr>
                <w:b/>
              </w:rPr>
            </w:pPr>
            <w:r w:rsidRPr="0064385C">
              <w:rPr>
                <w:b/>
              </w:rPr>
              <w:t>Dosage instructions</w:t>
            </w:r>
          </w:p>
        </w:tc>
        <w:tc>
          <w:tcPr>
            <w:tcW w:w="8073" w:type="dxa"/>
          </w:tcPr>
          <w:p w:rsidR="00AE6781" w:rsidRDefault="007C3BAD" w:rsidP="00AE6781">
            <w:r w:rsidRPr="007C3BAD">
              <w:t>500 mg THREE times a day for 7 days</w:t>
            </w:r>
          </w:p>
        </w:tc>
      </w:tr>
      <w:tr w:rsidR="00AE6781" w:rsidTr="00AE6781">
        <w:tc>
          <w:tcPr>
            <w:tcW w:w="2689" w:type="dxa"/>
          </w:tcPr>
          <w:p w:rsidR="00AE6781" w:rsidRPr="0064385C" w:rsidRDefault="00AE6781" w:rsidP="00AE6781">
            <w:pPr>
              <w:rPr>
                <w:b/>
              </w:rPr>
            </w:pPr>
            <w:r w:rsidRPr="0064385C">
              <w:rPr>
                <w:b/>
              </w:rPr>
              <w:t>Route of administration</w:t>
            </w:r>
          </w:p>
        </w:tc>
        <w:tc>
          <w:tcPr>
            <w:tcW w:w="8073" w:type="dxa"/>
          </w:tcPr>
          <w:p w:rsidR="00AE6781" w:rsidRDefault="007C3BAD" w:rsidP="00AE6781">
            <w:r>
              <w:t>Oral</w:t>
            </w:r>
          </w:p>
        </w:tc>
      </w:tr>
      <w:tr w:rsidR="00AE6781" w:rsidTr="00AE6781">
        <w:tc>
          <w:tcPr>
            <w:tcW w:w="2689" w:type="dxa"/>
          </w:tcPr>
          <w:p w:rsidR="00AE6781" w:rsidRPr="0064385C" w:rsidRDefault="00AE6781" w:rsidP="00AE6781">
            <w:pPr>
              <w:rPr>
                <w:b/>
              </w:rPr>
            </w:pPr>
            <w:r>
              <w:rPr>
                <w:b/>
              </w:rPr>
              <w:t>Quantity to be given</w:t>
            </w:r>
          </w:p>
        </w:tc>
        <w:tc>
          <w:tcPr>
            <w:tcW w:w="8073" w:type="dxa"/>
          </w:tcPr>
          <w:p w:rsidR="00AE6781" w:rsidRDefault="007C3BAD" w:rsidP="00AE6781">
            <w:r>
              <w:t>21 x 500mg capsules</w:t>
            </w:r>
          </w:p>
        </w:tc>
      </w:tr>
      <w:tr w:rsidR="00AE6781" w:rsidTr="00AE6781">
        <w:tc>
          <w:tcPr>
            <w:tcW w:w="2689" w:type="dxa"/>
          </w:tcPr>
          <w:p w:rsidR="00AE6781" w:rsidRPr="0064385C" w:rsidRDefault="00AE6781" w:rsidP="00AE6781">
            <w:pPr>
              <w:rPr>
                <w:b/>
              </w:rPr>
            </w:pPr>
            <w:r w:rsidRPr="0064385C">
              <w:rPr>
                <w:b/>
              </w:rPr>
              <w:t>Contraindications</w:t>
            </w:r>
          </w:p>
        </w:tc>
        <w:tc>
          <w:tcPr>
            <w:tcW w:w="8073" w:type="dxa"/>
          </w:tcPr>
          <w:p w:rsidR="00AE6781" w:rsidRDefault="007C3BAD" w:rsidP="00AE6781">
            <w:r>
              <w:t>Allergy to penicillin</w:t>
            </w:r>
          </w:p>
        </w:tc>
      </w:tr>
      <w:tr w:rsidR="00AE6781" w:rsidTr="00AE6781">
        <w:tc>
          <w:tcPr>
            <w:tcW w:w="2689" w:type="dxa"/>
          </w:tcPr>
          <w:p w:rsidR="00AE6781" w:rsidRPr="0064385C" w:rsidRDefault="00AE6781" w:rsidP="00AE6781">
            <w:pPr>
              <w:rPr>
                <w:b/>
              </w:rPr>
            </w:pPr>
            <w:r w:rsidRPr="0064385C">
              <w:rPr>
                <w:b/>
              </w:rPr>
              <w:t>Precautions</w:t>
            </w:r>
          </w:p>
        </w:tc>
        <w:tc>
          <w:tcPr>
            <w:tcW w:w="8073" w:type="dxa"/>
          </w:tcPr>
          <w:p w:rsidR="007C3BAD" w:rsidRDefault="007C3BAD" w:rsidP="002C2268">
            <w:pPr>
              <w:pStyle w:val="ListParagraph"/>
              <w:numPr>
                <w:ilvl w:val="0"/>
                <w:numId w:val="6"/>
              </w:numPr>
            </w:pPr>
            <w:r>
              <w:t>History of allergy</w:t>
            </w:r>
          </w:p>
        </w:tc>
      </w:tr>
      <w:tr w:rsidR="008C2A3F" w:rsidTr="001162FE">
        <w:tc>
          <w:tcPr>
            <w:tcW w:w="2689" w:type="dxa"/>
          </w:tcPr>
          <w:p w:rsidR="008C2A3F" w:rsidRPr="0064385C" w:rsidRDefault="008C2A3F" w:rsidP="008C2A3F">
            <w:pPr>
              <w:rPr>
                <w:b/>
              </w:rPr>
            </w:pPr>
            <w:r w:rsidRPr="0064385C">
              <w:rPr>
                <w:b/>
              </w:rPr>
              <w:t>Additional information</w:t>
            </w:r>
          </w:p>
        </w:tc>
        <w:tc>
          <w:tcPr>
            <w:tcW w:w="8073" w:type="dxa"/>
          </w:tcPr>
          <w:p w:rsidR="00FB3AA3" w:rsidRDefault="00FB3AA3" w:rsidP="00FB3AA3">
            <w:r>
              <w:t>For all complicated cases of chlamydia, (for example PID or rectal involvement) refer to a medical</w:t>
            </w:r>
            <w:r w:rsidR="00367896">
              <w:t xml:space="preserve"> or nurse</w:t>
            </w:r>
            <w:r>
              <w:t xml:space="preserve"> practitioner for a verbal order</w:t>
            </w:r>
            <w:r w:rsidR="002C2268">
              <w:t xml:space="preserve"> or review</w:t>
            </w:r>
            <w:r>
              <w:t>.</w:t>
            </w:r>
          </w:p>
          <w:p w:rsidR="004D6AD1" w:rsidRPr="004D6AD1" w:rsidRDefault="004D6AD1" w:rsidP="00FB3AA3">
            <w:pPr>
              <w:rPr>
                <w:sz w:val="12"/>
                <w:szCs w:val="12"/>
              </w:rPr>
            </w:pPr>
          </w:p>
          <w:p w:rsidR="00FB3AA3" w:rsidRDefault="00FB3AA3" w:rsidP="00FB3AA3">
            <w:r>
              <w:t>Advise to use condoms or abstain from sex for 7 days after initiation of</w:t>
            </w:r>
            <w:r w:rsidR="00CD15A6">
              <w:t xml:space="preserve"> treatment, and</w:t>
            </w:r>
            <w:r>
              <w:t xml:space="preserve"> until 7 days after all sexual contacts have been treated.</w:t>
            </w:r>
          </w:p>
          <w:p w:rsidR="00FB3AA3" w:rsidRPr="00FB3AA3" w:rsidRDefault="00FB3AA3" w:rsidP="00FB3AA3">
            <w:pPr>
              <w:rPr>
                <w:sz w:val="12"/>
                <w:szCs w:val="12"/>
              </w:rPr>
            </w:pPr>
          </w:p>
          <w:p w:rsidR="00FB3AA3" w:rsidRDefault="00FB3AA3" w:rsidP="00FB3AA3">
            <w:r>
              <w:t>Management of sexual contacts:</w:t>
            </w:r>
          </w:p>
          <w:p w:rsidR="00FB3AA3" w:rsidRDefault="00FB3AA3" w:rsidP="00FB3AA3">
            <w:pPr>
              <w:pStyle w:val="ListParagraph"/>
              <w:numPr>
                <w:ilvl w:val="0"/>
                <w:numId w:val="4"/>
              </w:numPr>
            </w:pPr>
            <w:r>
              <w:t xml:space="preserve">Patient to advise all sexual contacts in the last two months, and contacts should be treated empirically for chlamydia, without waiting for their test results. </w:t>
            </w:r>
          </w:p>
          <w:p w:rsidR="008C2A3F" w:rsidRDefault="00FB3AA3" w:rsidP="00FB3AA3">
            <w:pPr>
              <w:pStyle w:val="ListParagraph"/>
              <w:numPr>
                <w:ilvl w:val="0"/>
                <w:numId w:val="5"/>
              </w:numPr>
            </w:pPr>
            <w:r>
              <w:t>Advise index case to give patient information to contacts.</w:t>
            </w:r>
          </w:p>
        </w:tc>
      </w:tr>
      <w:tr w:rsidR="008C2A3F" w:rsidTr="001162FE">
        <w:tc>
          <w:tcPr>
            <w:tcW w:w="2689" w:type="dxa"/>
          </w:tcPr>
          <w:p w:rsidR="008C2A3F" w:rsidRPr="0064385C" w:rsidRDefault="008C2A3F" w:rsidP="008C2A3F">
            <w:pPr>
              <w:rPr>
                <w:b/>
              </w:rPr>
            </w:pPr>
            <w:r w:rsidRPr="0064385C">
              <w:rPr>
                <w:b/>
              </w:rPr>
              <w:t>Follow-up</w:t>
            </w:r>
          </w:p>
        </w:tc>
        <w:tc>
          <w:tcPr>
            <w:tcW w:w="8073" w:type="dxa"/>
          </w:tcPr>
          <w:p w:rsidR="00FB3AA3" w:rsidRDefault="00FB3AA3" w:rsidP="00FB3AA3">
            <w:r>
              <w:t xml:space="preserve">Follow up index case 7 days after treatment to ensure symptom resolution. Check treatment compliance, give results, </w:t>
            </w:r>
            <w:r w:rsidR="00CD15A6">
              <w:t>and check contact notification and offer syphilis serology.</w:t>
            </w:r>
          </w:p>
          <w:p w:rsidR="00FB3AA3" w:rsidRPr="00FB3AA3" w:rsidRDefault="00FB3AA3" w:rsidP="00FB3AA3">
            <w:pPr>
              <w:rPr>
                <w:sz w:val="12"/>
                <w:szCs w:val="12"/>
              </w:rPr>
            </w:pPr>
          </w:p>
          <w:p w:rsidR="008C2A3F" w:rsidRDefault="00FB3AA3" w:rsidP="00FB3AA3">
            <w:r>
              <w:t>Re-treatment is required if there has been any unprotected sex with untreated sexual contacts during the follow-up interval.</w:t>
            </w:r>
          </w:p>
          <w:p w:rsidR="002C2268" w:rsidRPr="002C2268" w:rsidRDefault="002C2268" w:rsidP="00FB3AA3">
            <w:pPr>
              <w:rPr>
                <w:sz w:val="12"/>
                <w:szCs w:val="12"/>
              </w:rPr>
            </w:pPr>
          </w:p>
          <w:p w:rsidR="002C2268" w:rsidRDefault="002C2268" w:rsidP="00FB3AA3">
            <w:r w:rsidRPr="002C2268">
              <w:t>Pregnant women must have a test of cure at least 5 weeks after initiation of treatment and be retested at the beginning of the third trimester as a test of re-infection. With permission, no</w:t>
            </w:r>
            <w:r>
              <w:t>tify LMC to support re-testing.</w:t>
            </w:r>
          </w:p>
        </w:tc>
      </w:tr>
      <w:tr w:rsidR="0070113B" w:rsidTr="001162FE">
        <w:tc>
          <w:tcPr>
            <w:tcW w:w="2689" w:type="dxa"/>
          </w:tcPr>
          <w:p w:rsidR="0070113B" w:rsidRPr="0064385C" w:rsidRDefault="0070113B" w:rsidP="0070113B">
            <w:pPr>
              <w:rPr>
                <w:b/>
              </w:rPr>
            </w:pPr>
            <w:r w:rsidRPr="0064385C">
              <w:rPr>
                <w:b/>
              </w:rPr>
              <w:t>Countersigning and auditing</w:t>
            </w:r>
          </w:p>
        </w:tc>
        <w:tc>
          <w:tcPr>
            <w:tcW w:w="8073" w:type="dxa"/>
          </w:tcPr>
          <w:p w:rsidR="0070113B" w:rsidRDefault="0070113B" w:rsidP="0070113B">
            <w:r>
              <w:t>Countersigning is not required. Audited monthly.</w:t>
            </w:r>
          </w:p>
          <w:p w:rsidR="0070113B" w:rsidRPr="0070113B" w:rsidRDefault="0070113B" w:rsidP="0070113B">
            <w:pPr>
              <w:rPr>
                <w:b/>
              </w:rPr>
            </w:pPr>
            <w:r w:rsidRPr="0070113B">
              <w:rPr>
                <w:b/>
              </w:rPr>
              <w:t xml:space="preserve">OR </w:t>
            </w:r>
          </w:p>
          <w:p w:rsidR="0070113B" w:rsidRDefault="0070113B" w:rsidP="0070113B">
            <w:r>
              <w:t xml:space="preserve">Countersigning is required within </w:t>
            </w:r>
            <w:r w:rsidRPr="00070579">
              <w:rPr>
                <w:b/>
                <w:i/>
              </w:rPr>
              <w:t>XX</w:t>
            </w:r>
            <w:r>
              <w:t xml:space="preserve"> days</w:t>
            </w:r>
          </w:p>
        </w:tc>
      </w:tr>
      <w:tr w:rsidR="0070113B" w:rsidTr="001162FE">
        <w:tc>
          <w:tcPr>
            <w:tcW w:w="2689" w:type="dxa"/>
          </w:tcPr>
          <w:p w:rsidR="0070113B" w:rsidRPr="0064385C" w:rsidRDefault="0070113B" w:rsidP="0070113B">
            <w:pPr>
              <w:rPr>
                <w:b/>
              </w:rPr>
            </w:pPr>
            <w:r w:rsidRPr="0064385C">
              <w:rPr>
                <w:b/>
              </w:rPr>
              <w:t>Competency/training requirements</w:t>
            </w:r>
          </w:p>
        </w:tc>
        <w:tc>
          <w:tcPr>
            <w:tcW w:w="8073" w:type="dxa"/>
          </w:tcPr>
          <w:p w:rsidR="0070113B" w:rsidRDefault="0070113B" w:rsidP="0070113B">
            <w:r>
              <w:t>All nurses working under this standing order must be signed off as competent to do so by the issuer and have had specific training in this standing order.</w:t>
            </w:r>
          </w:p>
        </w:tc>
      </w:tr>
      <w:tr w:rsidR="0070113B" w:rsidTr="001162FE">
        <w:tc>
          <w:tcPr>
            <w:tcW w:w="2689" w:type="dxa"/>
          </w:tcPr>
          <w:p w:rsidR="0070113B" w:rsidRPr="0064385C" w:rsidRDefault="0070113B" w:rsidP="0070113B">
            <w:pPr>
              <w:rPr>
                <w:b/>
              </w:rPr>
            </w:pPr>
            <w:r w:rsidRPr="0064385C">
              <w:rPr>
                <w:b/>
              </w:rPr>
              <w:t>Supporting documentation</w:t>
            </w:r>
          </w:p>
        </w:tc>
        <w:tc>
          <w:tcPr>
            <w:tcW w:w="8073" w:type="dxa"/>
          </w:tcPr>
          <w:p w:rsidR="00835FAE" w:rsidRDefault="00835FAE" w:rsidP="00835FAE">
            <w:r w:rsidRPr="003F686D">
              <w:t xml:space="preserve">The New Zealand Sexual Health Society Incorporated </w:t>
            </w:r>
            <w:hyperlink r:id="rId10" w:history="1">
              <w:r w:rsidRPr="00A54CB0">
                <w:rPr>
                  <w:rStyle w:val="Hyperlink"/>
                </w:rPr>
                <w:t>www.nzshs.org</w:t>
              </w:r>
            </w:hyperlink>
            <w:r>
              <w:t xml:space="preserve"> </w:t>
            </w:r>
          </w:p>
          <w:p w:rsidR="00835FAE" w:rsidRDefault="00835FAE" w:rsidP="00476AA6">
            <w:r>
              <w:t xml:space="preserve">Family Planning at </w:t>
            </w:r>
            <w:hyperlink r:id="rId11" w:history="1">
              <w:r w:rsidRPr="00E73418">
                <w:rPr>
                  <w:rStyle w:val="Hyperlink"/>
                </w:rPr>
                <w:t>www.familyplanning.org.nz</w:t>
              </w:r>
            </w:hyperlink>
            <w:r>
              <w:t xml:space="preserve"> </w:t>
            </w:r>
          </w:p>
          <w:p w:rsidR="00476AA6" w:rsidRDefault="00476AA6" w:rsidP="00476AA6">
            <w:proofErr w:type="spellStart"/>
            <w:r>
              <w:t>Healthpathways</w:t>
            </w:r>
            <w:proofErr w:type="spellEnd"/>
            <w:r>
              <w:t xml:space="preserve"> at </w:t>
            </w:r>
            <w:hyperlink r:id="rId12" w:history="1">
              <w:r w:rsidRPr="00254A91">
                <w:rPr>
                  <w:rStyle w:val="Hyperlink"/>
                </w:rPr>
                <w:t>www.healthpathways.org.nz</w:t>
              </w:r>
            </w:hyperlink>
            <w:r>
              <w:t xml:space="preserve"> </w:t>
            </w:r>
          </w:p>
          <w:p w:rsidR="00476AA6" w:rsidRDefault="00476AA6" w:rsidP="00476AA6">
            <w:r>
              <w:t xml:space="preserve">Best Practice Journal at </w:t>
            </w:r>
            <w:hyperlink r:id="rId13" w:history="1">
              <w:r w:rsidRPr="00254A91">
                <w:rPr>
                  <w:rStyle w:val="Hyperlink"/>
                </w:rPr>
                <w:t>www.bpac.org.nz</w:t>
              </w:r>
            </w:hyperlink>
            <w:r>
              <w:t xml:space="preserve"> </w:t>
            </w:r>
          </w:p>
          <w:p w:rsidR="00476AA6" w:rsidRDefault="00476AA6" w:rsidP="00476AA6">
            <w:r>
              <w:t xml:space="preserve">New Zealand Formulary at </w:t>
            </w:r>
            <w:hyperlink r:id="rId14" w:history="1">
              <w:r w:rsidRPr="00254A91">
                <w:rPr>
                  <w:rStyle w:val="Hyperlink"/>
                </w:rPr>
                <w:t>www.nzf.org.nz</w:t>
              </w:r>
            </w:hyperlink>
            <w:r>
              <w:t xml:space="preserve"> </w:t>
            </w:r>
          </w:p>
          <w:p w:rsidR="00835FAE" w:rsidRDefault="00476AA6" w:rsidP="00476AA6">
            <w:r>
              <w:t xml:space="preserve">Individual medicine data sheets at </w:t>
            </w:r>
            <w:hyperlink r:id="rId15" w:history="1">
              <w:r w:rsidRPr="00254A91">
                <w:rPr>
                  <w:rStyle w:val="Hyperlink"/>
                </w:rPr>
                <w:t>www.medsafe.govt.nz</w:t>
              </w:r>
            </w:hyperlink>
            <w:r>
              <w:t xml:space="preserve"> </w:t>
            </w:r>
          </w:p>
          <w:p w:rsidR="005216BC" w:rsidRDefault="00476AA6" w:rsidP="0070113B">
            <w:r>
              <w:t>Standing Order Guidelines, Ministry of Health, 2012</w:t>
            </w:r>
          </w:p>
          <w:p w:rsidR="00FB619D" w:rsidRDefault="00FB619D" w:rsidP="0070113B">
            <w:r>
              <w:t>Medicines (Standing Order) Regulations 2012 (Standing Order Regulations)</w:t>
            </w:r>
          </w:p>
        </w:tc>
      </w:tr>
      <w:tr w:rsidR="0070113B" w:rsidTr="001162FE">
        <w:tc>
          <w:tcPr>
            <w:tcW w:w="2689" w:type="dxa"/>
          </w:tcPr>
          <w:p w:rsidR="0070113B" w:rsidRPr="0064385C" w:rsidRDefault="0070113B" w:rsidP="0070113B">
            <w:pPr>
              <w:rPr>
                <w:b/>
              </w:rPr>
            </w:pPr>
            <w:r w:rsidRPr="0064385C">
              <w:rPr>
                <w:b/>
              </w:rPr>
              <w:t>Definition of terms used in standing order</w:t>
            </w:r>
          </w:p>
        </w:tc>
        <w:tc>
          <w:tcPr>
            <w:tcW w:w="8073" w:type="dxa"/>
          </w:tcPr>
          <w:p w:rsidR="0070113B" w:rsidRDefault="003F686D" w:rsidP="0070113B">
            <w:r w:rsidRPr="003F686D">
              <w:rPr>
                <w:u w:val="single"/>
              </w:rPr>
              <w:t>Dysuria</w:t>
            </w:r>
            <w:r w:rsidRPr="003F686D">
              <w:t>- painful urination</w:t>
            </w:r>
          </w:p>
          <w:p w:rsidR="003F686D" w:rsidRDefault="003F686D" w:rsidP="0070113B">
            <w:r w:rsidRPr="003F686D">
              <w:rPr>
                <w:u w:val="single"/>
              </w:rPr>
              <w:t xml:space="preserve">Mucopurulent </w:t>
            </w:r>
            <w:r>
              <w:t>– discharge containing mucus and pus</w:t>
            </w:r>
          </w:p>
          <w:p w:rsidR="00EC72A4" w:rsidRDefault="00EC72A4" w:rsidP="0070113B">
            <w:r w:rsidRPr="00EC72A4">
              <w:rPr>
                <w:u w:val="single"/>
              </w:rPr>
              <w:lastRenderedPageBreak/>
              <w:t>Category A</w:t>
            </w:r>
            <w:r>
              <w:t xml:space="preserve">- </w:t>
            </w:r>
            <w:r w:rsidRPr="00EC72A4">
              <w:t>Drugs which have been taken by a large number of pregnant women and women of childbearing age without any proven increase in the frequency of malformations or other direct or indirect harmful effects on the foetus having been observed.</w:t>
            </w:r>
          </w:p>
          <w:p w:rsidR="00EC72A4" w:rsidRDefault="00EC72A4" w:rsidP="0070113B">
            <w:r w:rsidRPr="00EC72A4">
              <w:rPr>
                <w:u w:val="single"/>
              </w:rPr>
              <w:t>Category B1</w:t>
            </w:r>
            <w:r>
              <w:t xml:space="preserve"> - Drugs which have been taken by only a limited number of pregnant women and women of childbearing age, without an increase in the frequency of malformation or other direct or indirect harmful effects on the human foetus having been observed. Studies in animals have not shown evidence of an increased occurrence of foetal damage.</w:t>
            </w:r>
          </w:p>
        </w:tc>
      </w:tr>
    </w:tbl>
    <w:p w:rsidR="001162FE" w:rsidRDefault="001162FE"/>
    <w:p w:rsidR="008C2A3F" w:rsidRDefault="008C2A3F"/>
    <w:tbl>
      <w:tblPr>
        <w:tblStyle w:val="TableGrid"/>
        <w:tblW w:w="0" w:type="auto"/>
        <w:tblLook w:val="04A0" w:firstRow="1" w:lastRow="0" w:firstColumn="1" w:lastColumn="0" w:noHBand="0" w:noVBand="1"/>
      </w:tblPr>
      <w:tblGrid>
        <w:gridCol w:w="2689"/>
        <w:gridCol w:w="8073"/>
      </w:tblGrid>
      <w:tr w:rsidR="008C2A3F" w:rsidTr="00AE6781">
        <w:tc>
          <w:tcPr>
            <w:tcW w:w="2689" w:type="dxa"/>
          </w:tcPr>
          <w:p w:rsidR="008C2A3F" w:rsidRPr="0064385C" w:rsidRDefault="008C2A3F" w:rsidP="00AE6781">
            <w:pPr>
              <w:rPr>
                <w:b/>
              </w:rPr>
            </w:pPr>
            <w:r w:rsidRPr="0064385C">
              <w:rPr>
                <w:b/>
              </w:rPr>
              <w:t>Medical Centre or Clinic</w:t>
            </w:r>
            <w:r w:rsidR="0064385C" w:rsidRPr="0064385C">
              <w:rPr>
                <w:b/>
              </w:rPr>
              <w:t>:</w:t>
            </w:r>
          </w:p>
        </w:tc>
        <w:tc>
          <w:tcPr>
            <w:tcW w:w="8073" w:type="dxa"/>
          </w:tcPr>
          <w:p w:rsidR="008C2A3F" w:rsidRDefault="008C2A3F" w:rsidP="00AE6781"/>
        </w:tc>
      </w:tr>
    </w:tbl>
    <w:p w:rsidR="001162FE" w:rsidRDefault="001162FE"/>
    <w:tbl>
      <w:tblPr>
        <w:tblStyle w:val="TableGrid"/>
        <w:tblW w:w="0" w:type="auto"/>
        <w:tblLook w:val="04A0" w:firstRow="1" w:lastRow="0" w:firstColumn="1" w:lastColumn="0" w:noHBand="0" w:noVBand="1"/>
      </w:tblPr>
      <w:tblGrid>
        <w:gridCol w:w="2122"/>
      </w:tblGrid>
      <w:tr w:rsidR="001162FE" w:rsidTr="00877CF2">
        <w:tc>
          <w:tcPr>
            <w:tcW w:w="2122" w:type="dxa"/>
          </w:tcPr>
          <w:p w:rsidR="001162FE" w:rsidRPr="0064385C" w:rsidRDefault="00877CF2">
            <w:pPr>
              <w:rPr>
                <w:b/>
              </w:rPr>
            </w:pPr>
            <w:r w:rsidRPr="0064385C">
              <w:rPr>
                <w:b/>
              </w:rPr>
              <w:t>Signed by issuers</w:t>
            </w:r>
          </w:p>
        </w:tc>
      </w:tr>
    </w:tbl>
    <w:p w:rsidR="001162FE" w:rsidRDefault="001162FE"/>
    <w:p w:rsidR="001162FE" w:rsidRDefault="001162FE">
      <w:r>
        <w:t>Name:</w:t>
      </w:r>
      <w:r>
        <w:tab/>
        <w:t>____________________________</w:t>
      </w:r>
      <w:r>
        <w:tab/>
      </w:r>
      <w:r>
        <w:tab/>
        <w:t>Signature: __________________________</w:t>
      </w:r>
    </w:p>
    <w:p w:rsidR="001162FE" w:rsidRDefault="001162FE">
      <w:r>
        <w:t>Title:</w:t>
      </w:r>
      <w:r>
        <w:tab/>
        <w:t>____________________________</w:t>
      </w:r>
      <w:r>
        <w:tab/>
      </w:r>
      <w:r>
        <w:tab/>
        <w:t>Date: _________________</w:t>
      </w:r>
    </w:p>
    <w:tbl>
      <w:tblPr>
        <w:tblStyle w:val="TableGrid"/>
        <w:tblW w:w="0" w:type="auto"/>
        <w:tblLook w:val="04A0" w:firstRow="1" w:lastRow="0" w:firstColumn="1" w:lastColumn="0" w:noHBand="0" w:noVBand="1"/>
      </w:tblPr>
      <w:tblGrid>
        <w:gridCol w:w="4531"/>
      </w:tblGrid>
      <w:tr w:rsidR="001162FE" w:rsidTr="0064385C">
        <w:trPr>
          <w:trHeight w:val="123"/>
        </w:trPr>
        <w:tc>
          <w:tcPr>
            <w:tcW w:w="4531" w:type="dxa"/>
          </w:tcPr>
          <w:p w:rsidR="001162FE" w:rsidRPr="0064385C" w:rsidRDefault="001162FE">
            <w:pPr>
              <w:rPr>
                <w:b/>
              </w:rPr>
            </w:pPr>
            <w:r w:rsidRPr="0064385C">
              <w:rPr>
                <w:b/>
              </w:rPr>
              <w:t>Nurses operating under this standing order</w:t>
            </w:r>
          </w:p>
        </w:tc>
      </w:tr>
    </w:tbl>
    <w:p w:rsidR="001162FE" w:rsidRDefault="001162FE"/>
    <w:p w:rsidR="0064385C" w:rsidRDefault="0064385C" w:rsidP="0064385C">
      <w:r>
        <w:t xml:space="preserve">Only Registered nurses working within the above medical centre or clinic are authorised to administer medication under this standing order. </w:t>
      </w:r>
    </w:p>
    <w:p w:rsidR="001162FE" w:rsidRDefault="001162FE">
      <w:r>
        <w:t>We the undersigned agree that we have read, understood and will comply with this standing order and all associated documents.</w:t>
      </w:r>
    </w:p>
    <w:p w:rsidR="001162FE" w:rsidRDefault="001162FE"/>
    <w:p w:rsidR="001162FE" w:rsidRDefault="001162FE">
      <w:r>
        <w:t>Name: ______________________   Signature: __________________________  Date: ______________</w:t>
      </w:r>
    </w:p>
    <w:p w:rsidR="001162FE" w:rsidRDefault="001162FE" w:rsidP="001162FE">
      <w:r>
        <w:t>Name: ______________________   Signature: __________________________  Date: ______________</w:t>
      </w:r>
    </w:p>
    <w:p w:rsidR="001162FE" w:rsidRDefault="001162FE" w:rsidP="001162FE">
      <w:r>
        <w:t>Name: ______________________   Signature: __________________________  Date: ______________</w:t>
      </w:r>
    </w:p>
    <w:p w:rsidR="001162FE" w:rsidRDefault="001162FE" w:rsidP="001162FE">
      <w:r>
        <w:t>Name: ______________________   Signature: __________________________  Date: ______________</w:t>
      </w:r>
    </w:p>
    <w:p w:rsidR="001162FE" w:rsidRDefault="001162FE"/>
    <w:sectPr w:rsidR="001162FE" w:rsidSect="00D270A8">
      <w:footerReference w:type="default" r:id="rId16"/>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5A6" w:rsidRDefault="00CD15A6" w:rsidP="00FB619D">
      <w:pPr>
        <w:spacing w:after="0" w:line="240" w:lineRule="auto"/>
      </w:pPr>
      <w:r>
        <w:separator/>
      </w:r>
    </w:p>
  </w:endnote>
  <w:endnote w:type="continuationSeparator" w:id="0">
    <w:p w:rsidR="00CD15A6" w:rsidRDefault="00CD15A6" w:rsidP="00FB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5A6" w:rsidRDefault="00CD15A6">
    <w:pPr>
      <w:pStyle w:val="Footer"/>
    </w:pPr>
    <w:r>
      <w:t>Chlamydia Standing Order</w:t>
    </w:r>
    <w:r>
      <w:tab/>
      <w:t>August 2019</w:t>
    </w:r>
    <w:r>
      <w:tab/>
    </w:r>
    <w:proofErr w:type="spellStart"/>
    <w:r>
      <w:t>WellSouth</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5A6" w:rsidRDefault="00CD15A6" w:rsidP="00FB619D">
      <w:pPr>
        <w:spacing w:after="0" w:line="240" w:lineRule="auto"/>
      </w:pPr>
      <w:r>
        <w:separator/>
      </w:r>
    </w:p>
  </w:footnote>
  <w:footnote w:type="continuationSeparator" w:id="0">
    <w:p w:rsidR="00CD15A6" w:rsidRDefault="00CD15A6" w:rsidP="00FB6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5A0E"/>
    <w:multiLevelType w:val="hybridMultilevel"/>
    <w:tmpl w:val="1A86C7FE"/>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2C836F6"/>
    <w:multiLevelType w:val="hybridMultilevel"/>
    <w:tmpl w:val="B220F400"/>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79831A9"/>
    <w:multiLevelType w:val="hybridMultilevel"/>
    <w:tmpl w:val="DDF47CD4"/>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C8A7556"/>
    <w:multiLevelType w:val="hybridMultilevel"/>
    <w:tmpl w:val="57E666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29E0E48"/>
    <w:multiLevelType w:val="hybridMultilevel"/>
    <w:tmpl w:val="3CF614CA"/>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CD043CB"/>
    <w:multiLevelType w:val="hybridMultilevel"/>
    <w:tmpl w:val="EC46F0D4"/>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9770DFC"/>
    <w:multiLevelType w:val="hybridMultilevel"/>
    <w:tmpl w:val="722EBD32"/>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A8"/>
    <w:rsid w:val="000E47A6"/>
    <w:rsid w:val="001162FE"/>
    <w:rsid w:val="00123A68"/>
    <w:rsid w:val="00156F91"/>
    <w:rsid w:val="00282385"/>
    <w:rsid w:val="002A4F5D"/>
    <w:rsid w:val="002C2268"/>
    <w:rsid w:val="00327030"/>
    <w:rsid w:val="00367896"/>
    <w:rsid w:val="003F686D"/>
    <w:rsid w:val="00476AA6"/>
    <w:rsid w:val="004D6AD1"/>
    <w:rsid w:val="005216BC"/>
    <w:rsid w:val="00566F28"/>
    <w:rsid w:val="0064385C"/>
    <w:rsid w:val="0070113B"/>
    <w:rsid w:val="007C3BAD"/>
    <w:rsid w:val="00835FAE"/>
    <w:rsid w:val="00853012"/>
    <w:rsid w:val="00877CF2"/>
    <w:rsid w:val="008C2A3F"/>
    <w:rsid w:val="00984B43"/>
    <w:rsid w:val="009B6197"/>
    <w:rsid w:val="00AE6781"/>
    <w:rsid w:val="00B52A03"/>
    <w:rsid w:val="00BB30C9"/>
    <w:rsid w:val="00C75D1D"/>
    <w:rsid w:val="00CB5D26"/>
    <w:rsid w:val="00CD15A6"/>
    <w:rsid w:val="00D270A8"/>
    <w:rsid w:val="00DF4DF7"/>
    <w:rsid w:val="00E84FC5"/>
    <w:rsid w:val="00EC72A4"/>
    <w:rsid w:val="00FB3AA3"/>
    <w:rsid w:val="00FB61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9DDCF-23F5-477A-8B59-51F0AA9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AA6"/>
    <w:rPr>
      <w:color w:val="0563C1" w:themeColor="hyperlink"/>
      <w:u w:val="single"/>
    </w:rPr>
  </w:style>
  <w:style w:type="paragraph" w:styleId="ListParagraph">
    <w:name w:val="List Paragraph"/>
    <w:basedOn w:val="Normal"/>
    <w:uiPriority w:val="34"/>
    <w:qFormat/>
    <w:rsid w:val="003F686D"/>
    <w:pPr>
      <w:ind w:left="720"/>
      <w:contextualSpacing/>
    </w:pPr>
  </w:style>
  <w:style w:type="paragraph" w:styleId="Header">
    <w:name w:val="header"/>
    <w:basedOn w:val="Normal"/>
    <w:link w:val="HeaderChar"/>
    <w:uiPriority w:val="99"/>
    <w:unhideWhenUsed/>
    <w:rsid w:val="00FB6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19D"/>
  </w:style>
  <w:style w:type="paragraph" w:styleId="Footer">
    <w:name w:val="footer"/>
    <w:basedOn w:val="Normal"/>
    <w:link w:val="FooterChar"/>
    <w:uiPriority w:val="99"/>
    <w:unhideWhenUsed/>
    <w:rsid w:val="00FB6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f.org.nz" TargetMode="External"/><Relationship Id="rId13" Type="http://schemas.openxmlformats.org/officeDocument/2006/relationships/hyperlink" Target="http://www.bpac.org.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ealthpathways.org.n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planning.org.nz" TargetMode="External"/><Relationship Id="rId5" Type="http://schemas.openxmlformats.org/officeDocument/2006/relationships/footnotes" Target="footnotes.xml"/><Relationship Id="rId15" Type="http://schemas.openxmlformats.org/officeDocument/2006/relationships/hyperlink" Target="http://www.medsafe.govt.nz" TargetMode="External"/><Relationship Id="rId10" Type="http://schemas.openxmlformats.org/officeDocument/2006/relationships/hyperlink" Target="http://www.nzshs.org" TargetMode="External"/><Relationship Id="rId4" Type="http://schemas.openxmlformats.org/officeDocument/2006/relationships/webSettings" Target="webSettings.xml"/><Relationship Id="rId9" Type="http://schemas.openxmlformats.org/officeDocument/2006/relationships/hyperlink" Target="http://www.nzf.org.nz" TargetMode="External"/><Relationship Id="rId14" Type="http://schemas.openxmlformats.org/officeDocument/2006/relationships/hyperlink" Target="http://www.nzf.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4489B340</Template>
  <TotalTime>29</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Southern PHO</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Leach</dc:creator>
  <cp:keywords/>
  <dc:description/>
  <cp:lastModifiedBy>Nick Leach</cp:lastModifiedBy>
  <cp:revision>5</cp:revision>
  <dcterms:created xsi:type="dcterms:W3CDTF">2019-08-12T23:31:00Z</dcterms:created>
  <dcterms:modified xsi:type="dcterms:W3CDTF">2019-08-27T02:44:00Z</dcterms:modified>
</cp:coreProperties>
</file>