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456F0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23A68">
        <w:rPr>
          <w:noProof/>
          <w:lang w:eastAsia="en-NZ"/>
        </w:rPr>
        <w:drawing>
          <wp:inline distT="0" distB="0" distL="0" distR="0" wp14:anchorId="1EA5FC58" wp14:editId="60CE76B6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AA2C7B">
        <w:rPr>
          <w:b/>
          <w:sz w:val="28"/>
          <w:szCs w:val="28"/>
        </w:rPr>
        <w:t>Croup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7806F27F" w14:textId="77777777" w:rsidTr="00877CF2">
        <w:trPr>
          <w:jc w:val="center"/>
        </w:trPr>
        <w:tc>
          <w:tcPr>
            <w:tcW w:w="1555" w:type="dxa"/>
          </w:tcPr>
          <w:p w14:paraId="5FB80C67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32C0B5BE" w14:textId="77777777" w:rsidR="001162FE" w:rsidRDefault="001162FE"/>
        </w:tc>
        <w:tc>
          <w:tcPr>
            <w:tcW w:w="1843" w:type="dxa"/>
          </w:tcPr>
          <w:p w14:paraId="26090A33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43D907A4" w14:textId="77777777" w:rsidR="001162FE" w:rsidRDefault="001162FE"/>
        </w:tc>
      </w:tr>
    </w:tbl>
    <w:p w14:paraId="3D91DCC3" w14:textId="77777777" w:rsidR="001162FE" w:rsidRDefault="001162FE"/>
    <w:p w14:paraId="1FCEEA9A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8170"/>
      </w:tblGrid>
      <w:tr w:rsidR="001162FE" w14:paraId="49B62EA8" w14:textId="77777777" w:rsidTr="00AA3271">
        <w:tc>
          <w:tcPr>
            <w:tcW w:w="2592" w:type="dxa"/>
          </w:tcPr>
          <w:p w14:paraId="600ACD8A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170" w:type="dxa"/>
          </w:tcPr>
          <w:p w14:paraId="197C1ECC" w14:textId="77777777" w:rsidR="001162FE" w:rsidRDefault="00AA2C7B">
            <w:r>
              <w:t>Croup</w:t>
            </w:r>
          </w:p>
        </w:tc>
      </w:tr>
      <w:tr w:rsidR="001162FE" w14:paraId="14A41DFF" w14:textId="77777777" w:rsidTr="00AA3271">
        <w:tc>
          <w:tcPr>
            <w:tcW w:w="2592" w:type="dxa"/>
          </w:tcPr>
          <w:p w14:paraId="6D28C5DC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170" w:type="dxa"/>
          </w:tcPr>
          <w:p w14:paraId="503B792A" w14:textId="77777777" w:rsidR="001162FE" w:rsidRDefault="00AA2C7B">
            <w:r>
              <w:t>To promptly and appropriately assess and manage uncomplicated mild to moderate cases of croup and refer compromised or severe cases for admission.</w:t>
            </w:r>
          </w:p>
        </w:tc>
      </w:tr>
      <w:tr w:rsidR="001162FE" w14:paraId="4BE090B5" w14:textId="77777777" w:rsidTr="00AA3271">
        <w:tc>
          <w:tcPr>
            <w:tcW w:w="2592" w:type="dxa"/>
          </w:tcPr>
          <w:p w14:paraId="771F7C07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170" w:type="dxa"/>
          </w:tcPr>
          <w:p w14:paraId="0DE601D2" w14:textId="77777777" w:rsidR="001162FE" w:rsidRDefault="00E96692">
            <w:r>
              <w:t>Infants and young children aged between 6 months and 3 years</w:t>
            </w:r>
            <w:r w:rsidR="003D47B0">
              <w:t xml:space="preserve"> presenting with symptoms of mild to moderate croup</w:t>
            </w:r>
            <w:r>
              <w:t>. Occasionally children aged up to 6 years may present with symptoms of croup.</w:t>
            </w:r>
          </w:p>
        </w:tc>
      </w:tr>
      <w:tr w:rsidR="000E47A6" w14:paraId="71D47E03" w14:textId="77777777" w:rsidTr="00AA3271">
        <w:tc>
          <w:tcPr>
            <w:tcW w:w="2592" w:type="dxa"/>
          </w:tcPr>
          <w:p w14:paraId="011C4B2C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170" w:type="dxa"/>
          </w:tcPr>
          <w:p w14:paraId="357C7B2D" w14:textId="77777777" w:rsidR="00042DC7" w:rsidRDefault="00042DC7">
            <w:r w:rsidRPr="00042DC7">
              <w:t>Other causes of acute upper airway obstruction includ</w:t>
            </w:r>
            <w:r>
              <w:t>ing:</w:t>
            </w:r>
          </w:p>
          <w:p w14:paraId="038E3CED" w14:textId="77777777" w:rsidR="00042DC7" w:rsidRDefault="00042DC7" w:rsidP="00042DC7">
            <w:pPr>
              <w:pStyle w:val="ListParagraph"/>
              <w:numPr>
                <w:ilvl w:val="0"/>
                <w:numId w:val="2"/>
              </w:numPr>
            </w:pPr>
            <w:r>
              <w:t>Epiglottitis</w:t>
            </w:r>
          </w:p>
          <w:p w14:paraId="02C40B4C" w14:textId="77777777" w:rsidR="00042DC7" w:rsidRDefault="00042DC7" w:rsidP="00042DC7">
            <w:pPr>
              <w:pStyle w:val="ListParagraph"/>
              <w:numPr>
                <w:ilvl w:val="0"/>
                <w:numId w:val="2"/>
              </w:numPr>
            </w:pPr>
            <w:r>
              <w:t>retropharyngeal abscess</w:t>
            </w:r>
          </w:p>
          <w:p w14:paraId="35F202C1" w14:textId="77777777" w:rsidR="00042DC7" w:rsidRDefault="008D3C7C" w:rsidP="00042DC7">
            <w:pPr>
              <w:pStyle w:val="ListParagraph"/>
              <w:numPr>
                <w:ilvl w:val="0"/>
                <w:numId w:val="2"/>
              </w:numPr>
            </w:pPr>
            <w:r>
              <w:t xml:space="preserve">bacterial </w:t>
            </w:r>
            <w:proofErr w:type="spellStart"/>
            <w:r>
              <w:t>tracheitis</w:t>
            </w:r>
            <w:proofErr w:type="spellEnd"/>
            <w:r>
              <w:t xml:space="preserve"> </w:t>
            </w:r>
          </w:p>
          <w:p w14:paraId="20607D09" w14:textId="77777777" w:rsidR="00042DC7" w:rsidRDefault="00042DC7" w:rsidP="00042DC7">
            <w:pPr>
              <w:pStyle w:val="ListParagraph"/>
              <w:numPr>
                <w:ilvl w:val="0"/>
                <w:numId w:val="2"/>
              </w:numPr>
            </w:pPr>
            <w:r w:rsidRPr="00042DC7">
              <w:t xml:space="preserve">foreign bodies. </w:t>
            </w:r>
          </w:p>
          <w:p w14:paraId="30A9815C" w14:textId="77777777" w:rsidR="000E47A6" w:rsidRDefault="00042DC7">
            <w:r w:rsidRPr="00042DC7">
              <w:t>These are particularly important to consider in children who are outside the typical age range or have an unusual clinical picture.</w:t>
            </w:r>
          </w:p>
        </w:tc>
      </w:tr>
      <w:tr w:rsidR="001162FE" w:rsidRPr="00636EA8" w14:paraId="1B6B7577" w14:textId="77777777" w:rsidTr="00AA3271">
        <w:tc>
          <w:tcPr>
            <w:tcW w:w="2592" w:type="dxa"/>
          </w:tcPr>
          <w:p w14:paraId="7FF31FE3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170" w:type="dxa"/>
          </w:tcPr>
          <w:p w14:paraId="2D1B4FC3" w14:textId="77777777" w:rsidR="008C5FD0" w:rsidRPr="00636EA8" w:rsidRDefault="00AD0F52" w:rsidP="008C5FD0">
            <w:r>
              <w:t xml:space="preserve">1.  </w:t>
            </w:r>
            <w:r w:rsidR="00732729">
              <w:t>Croup is a viral illness, which is often worse at night, with a c</w:t>
            </w:r>
            <w:r w:rsidR="008C5FD0" w:rsidRPr="00636EA8">
              <w:t xml:space="preserve">linical </w:t>
            </w:r>
            <w:r w:rsidR="00732729">
              <w:t>picture</w:t>
            </w:r>
            <w:r>
              <w:t xml:space="preserve"> </w:t>
            </w:r>
            <w:r w:rsidR="00732729">
              <w:t>including</w:t>
            </w:r>
            <w:r w:rsidR="008C5FD0" w:rsidRPr="00636EA8">
              <w:t>:</w:t>
            </w:r>
          </w:p>
          <w:p w14:paraId="0BCFAEE7" w14:textId="77777777" w:rsidR="008C5FD0" w:rsidRPr="00636EA8" w:rsidRDefault="008C5FD0" w:rsidP="008C5FD0">
            <w:pPr>
              <w:pStyle w:val="ListParagraph"/>
              <w:numPr>
                <w:ilvl w:val="0"/>
                <w:numId w:val="1"/>
              </w:numPr>
            </w:pPr>
            <w:r w:rsidRPr="00636EA8">
              <w:t>A "barking" cough - often described as "seal-like"</w:t>
            </w:r>
          </w:p>
          <w:p w14:paraId="39759D33" w14:textId="77777777" w:rsidR="008C5FD0" w:rsidRPr="00636EA8" w:rsidRDefault="008C5FD0" w:rsidP="008C5FD0">
            <w:pPr>
              <w:pStyle w:val="ListParagraph"/>
              <w:numPr>
                <w:ilvl w:val="0"/>
                <w:numId w:val="1"/>
              </w:numPr>
            </w:pPr>
            <w:r w:rsidRPr="00636EA8">
              <w:t>Stridor</w:t>
            </w:r>
          </w:p>
          <w:p w14:paraId="701C79BA" w14:textId="77777777" w:rsidR="008C5FD0" w:rsidRPr="00636EA8" w:rsidRDefault="008C5FD0" w:rsidP="008C5FD0">
            <w:pPr>
              <w:pStyle w:val="ListParagraph"/>
              <w:numPr>
                <w:ilvl w:val="0"/>
                <w:numId w:val="1"/>
              </w:numPr>
            </w:pPr>
            <w:r w:rsidRPr="00636EA8">
              <w:t>Hoarse voice</w:t>
            </w:r>
          </w:p>
          <w:p w14:paraId="0F76CA5C" w14:textId="77777777" w:rsidR="008C5FD0" w:rsidRDefault="008C5FD0" w:rsidP="008C5FD0">
            <w:pPr>
              <w:pStyle w:val="ListParagraph"/>
              <w:numPr>
                <w:ilvl w:val="0"/>
                <w:numId w:val="1"/>
              </w:numPr>
            </w:pPr>
            <w:r w:rsidRPr="00636EA8">
              <w:t>Other signs of respiratory distress</w:t>
            </w:r>
          </w:p>
          <w:p w14:paraId="5B3DF394" w14:textId="77777777" w:rsidR="00661BC7" w:rsidRPr="00636EA8" w:rsidRDefault="00661BC7" w:rsidP="008C5FD0">
            <w:pPr>
              <w:pStyle w:val="ListParagraph"/>
              <w:numPr>
                <w:ilvl w:val="0"/>
                <w:numId w:val="1"/>
              </w:numPr>
            </w:pPr>
            <w:r w:rsidRPr="00636EA8">
              <w:t>Relatively mild systemic illness</w:t>
            </w:r>
          </w:p>
          <w:p w14:paraId="72B64B88" w14:textId="77777777" w:rsidR="00AD0F52" w:rsidRPr="00AD0F52" w:rsidRDefault="00AD0F52" w:rsidP="00E4087E">
            <w:pPr>
              <w:rPr>
                <w:sz w:val="12"/>
                <w:szCs w:val="12"/>
              </w:rPr>
            </w:pPr>
          </w:p>
          <w:p w14:paraId="567C8748" w14:textId="77777777" w:rsidR="001C40F7" w:rsidRDefault="00E4087E" w:rsidP="00E4087E">
            <w:r w:rsidRPr="00E4087E">
              <w:t>2.</w:t>
            </w:r>
            <w:r w:rsidR="00AD0F52">
              <w:t xml:space="preserve"> </w:t>
            </w:r>
            <w:r w:rsidRPr="00E4087E">
              <w:t>Determine the degree of respiratory difficulty by assessing respiratory rate, heart rate, and looking for any tracheal tug, chest retraction.</w:t>
            </w:r>
          </w:p>
          <w:p w14:paraId="025EBE23" w14:textId="77777777" w:rsidR="00AD0F52" w:rsidRPr="00AD0F52" w:rsidRDefault="00AD0F52" w:rsidP="00E4087E">
            <w:pPr>
              <w:rPr>
                <w:sz w:val="12"/>
                <w:szCs w:val="12"/>
              </w:rPr>
            </w:pPr>
          </w:p>
          <w:p w14:paraId="07B0E430" w14:textId="77777777" w:rsidR="00AD0F52" w:rsidRDefault="00AD0F52" w:rsidP="00E4087E">
            <w:r>
              <w:t>3. Determine the severity of croup (see table below)</w:t>
            </w:r>
          </w:p>
          <w:tbl>
            <w:tblPr>
              <w:tblpPr w:leftFromText="180" w:rightFromText="180" w:vertAnchor="text" w:horzAnchor="margin" w:tblpY="-67"/>
              <w:tblOverlap w:val="never"/>
              <w:tblW w:w="7938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249"/>
              <w:gridCol w:w="2003"/>
              <w:gridCol w:w="2268"/>
            </w:tblGrid>
            <w:tr w:rsidR="00661BC7" w:rsidRPr="00636EA8" w14:paraId="43FF5FCF" w14:textId="77777777" w:rsidTr="00661BC7">
              <w:tc>
                <w:tcPr>
                  <w:tcW w:w="14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</w:tcBorders>
                  <w:shd w:val="clear" w:color="auto" w:fill="DADADA"/>
                  <w:hideMark/>
                </w:tcPr>
                <w:p w14:paraId="282EC402" w14:textId="77777777" w:rsidR="00661BC7" w:rsidRPr="00636EA8" w:rsidRDefault="00661BC7" w:rsidP="00661BC7">
                  <w:pPr>
                    <w:spacing w:before="240" w:after="0" w:line="240" w:lineRule="auto"/>
                    <w:jc w:val="center"/>
                    <w:textAlignment w:val="baseline"/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  <w:lastRenderedPageBreak/>
                    <w:t> </w:t>
                  </w:r>
                </w:p>
              </w:tc>
              <w:tc>
                <w:tcPr>
                  <w:tcW w:w="22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DADADA"/>
                  <w:hideMark/>
                </w:tcPr>
                <w:p w14:paraId="25223E89" w14:textId="77777777" w:rsidR="00661BC7" w:rsidRPr="00636EA8" w:rsidRDefault="00661BC7" w:rsidP="00661BC7">
                  <w:pPr>
                    <w:spacing w:before="240" w:after="0" w:line="240" w:lineRule="auto"/>
                    <w:jc w:val="center"/>
                    <w:textAlignment w:val="baseline"/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  <w:t>Mild</w:t>
                  </w:r>
                </w:p>
              </w:tc>
              <w:tc>
                <w:tcPr>
                  <w:tcW w:w="2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DADADA"/>
                  <w:hideMark/>
                </w:tcPr>
                <w:p w14:paraId="2DC5D2BE" w14:textId="77777777" w:rsidR="00661BC7" w:rsidRPr="00636EA8" w:rsidRDefault="00661BC7" w:rsidP="00661BC7">
                  <w:pPr>
                    <w:spacing w:before="240" w:after="0" w:line="240" w:lineRule="auto"/>
                    <w:jc w:val="center"/>
                    <w:textAlignment w:val="baseline"/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  <w:t>Moderate</w:t>
                  </w:r>
                </w:p>
              </w:tc>
              <w:tc>
                <w:tcPr>
                  <w:tcW w:w="22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DADADA"/>
                  <w:hideMark/>
                </w:tcPr>
                <w:p w14:paraId="1932915D" w14:textId="77777777" w:rsidR="00661BC7" w:rsidRPr="00636EA8" w:rsidRDefault="00661BC7" w:rsidP="00661BC7">
                  <w:pPr>
                    <w:spacing w:before="240" w:after="0" w:line="240" w:lineRule="auto"/>
                    <w:jc w:val="center"/>
                    <w:textAlignment w:val="baseline"/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E2332D"/>
                      <w:lang w:eastAsia="en-NZ"/>
                    </w:rPr>
                    <w:t>Severe</w:t>
                  </w:r>
                </w:p>
              </w:tc>
            </w:tr>
            <w:tr w:rsidR="00661BC7" w:rsidRPr="00636EA8" w14:paraId="4D718A04" w14:textId="77777777" w:rsidTr="00661BC7">
              <w:tc>
                <w:tcPr>
                  <w:tcW w:w="14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70B612D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000000"/>
                      <w:lang w:eastAsia="en-NZ"/>
                    </w:rPr>
                    <w:t>Behaviour</w:t>
                  </w:r>
                </w:p>
              </w:tc>
              <w:tc>
                <w:tcPr>
                  <w:tcW w:w="22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4A9BDCC1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Normal</w:t>
                  </w:r>
                </w:p>
              </w:tc>
              <w:tc>
                <w:tcPr>
                  <w:tcW w:w="2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5870B70C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Some / intermittent irritability</w:t>
                  </w:r>
                </w:p>
              </w:tc>
              <w:tc>
                <w:tcPr>
                  <w:tcW w:w="22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772B2684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Increasing irritability and/or lethargy</w:t>
                  </w:r>
                </w:p>
              </w:tc>
            </w:tr>
            <w:tr w:rsidR="00661BC7" w:rsidRPr="00636EA8" w14:paraId="38C4092C" w14:textId="77777777" w:rsidTr="00661BC7">
              <w:tc>
                <w:tcPr>
                  <w:tcW w:w="1418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7C8A33B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000000"/>
                      <w:lang w:eastAsia="en-NZ"/>
                    </w:rPr>
                    <w:t>Stridor</w:t>
                  </w:r>
                </w:p>
                <w:p w14:paraId="072AD7DE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249" w:type="dxa"/>
                  <w:tcBorders>
                    <w:top w:val="single" w:sz="6" w:space="0" w:color="808080"/>
                    <w:left w:val="single" w:sz="6" w:space="0" w:color="808080"/>
                    <w:right w:val="single" w:sz="6" w:space="0" w:color="808080"/>
                  </w:tcBorders>
                  <w:hideMark/>
                </w:tcPr>
                <w:p w14:paraId="11A8136D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Stridor only when active or upset</w:t>
                  </w:r>
                </w:p>
                <w:p w14:paraId="77FE03C7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Barking cough</w:t>
                  </w:r>
                </w:p>
              </w:tc>
              <w:tc>
                <w:tcPr>
                  <w:tcW w:w="2003" w:type="dxa"/>
                  <w:tcBorders>
                    <w:top w:val="single" w:sz="6" w:space="0" w:color="808080"/>
                    <w:left w:val="single" w:sz="6" w:space="0" w:color="808080"/>
                    <w:right w:val="single" w:sz="6" w:space="0" w:color="808080"/>
                  </w:tcBorders>
                  <w:hideMark/>
                </w:tcPr>
                <w:p w14:paraId="66E3D88F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Stridor at rest</w:t>
                  </w:r>
                </w:p>
              </w:tc>
              <w:tc>
                <w:tcPr>
                  <w:tcW w:w="2268" w:type="dxa"/>
                  <w:tcBorders>
                    <w:top w:val="single" w:sz="6" w:space="0" w:color="808080"/>
                    <w:left w:val="single" w:sz="6" w:space="0" w:color="808080"/>
                    <w:right w:val="single" w:sz="6" w:space="0" w:color="808080"/>
                  </w:tcBorders>
                  <w:hideMark/>
                </w:tcPr>
                <w:p w14:paraId="4DF7DC1C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Stridor at rest but this may be soft in spite of marked inspiratory effort</w:t>
                  </w:r>
                </w:p>
              </w:tc>
            </w:tr>
            <w:tr w:rsidR="00661BC7" w:rsidRPr="00636EA8" w14:paraId="0D802A18" w14:textId="77777777" w:rsidTr="00661BC7">
              <w:tc>
                <w:tcPr>
                  <w:tcW w:w="1418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53A09F25" w14:textId="77777777" w:rsidR="00661BC7" w:rsidRPr="00636EA8" w:rsidRDefault="00661BC7" w:rsidP="00661BC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</w:p>
              </w:tc>
              <w:tc>
                <w:tcPr>
                  <w:tcW w:w="6520" w:type="dxa"/>
                  <w:gridSpan w:val="3"/>
                  <w:tcBorders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54063731" w14:textId="77777777" w:rsidR="00661BC7" w:rsidRPr="00636EA8" w:rsidRDefault="00661BC7" w:rsidP="00231BEB">
                  <w:pPr>
                    <w:pBdr>
                      <w:top w:val="single" w:sz="6" w:space="4" w:color="1F1F1F"/>
                      <w:bottom w:val="single" w:sz="6" w:space="4" w:color="1F1F1F"/>
                    </w:pBdr>
                    <w:spacing w:before="120" w:after="120" w:line="240" w:lineRule="auto"/>
                    <w:ind w:right="120"/>
                    <w:textAlignment w:val="baseline"/>
                    <w:rPr>
                      <w:rFonts w:eastAsia="Times New Roman" w:cs="Times New Roman"/>
                      <w:color w:val="0F0F0F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000000"/>
                      <w:lang w:eastAsia="en-NZ"/>
                    </w:rPr>
                    <w:t>Note</w:t>
                  </w:r>
                  <w:r w:rsidRPr="00231BEB">
                    <w:rPr>
                      <w:rFonts w:eastAsia="Times New Roman" w:cs="Times New Roman"/>
                      <w:b/>
                      <w:bCs/>
                      <w:color w:val="000000" w:themeColor="text1"/>
                      <w:lang w:eastAsia="en-NZ"/>
                    </w:rPr>
                    <w:t>:</w:t>
                  </w:r>
                  <w:r w:rsidRPr="00231BEB">
                    <w:rPr>
                      <w:rFonts w:eastAsia="Times New Roman" w:cs="Times New Roman"/>
                      <w:color w:val="000000" w:themeColor="text1"/>
                      <w:lang w:eastAsia="en-NZ"/>
                    </w:rPr>
                    <w:t xml:space="preserve"> Stridor in genera</w:t>
                  </w:r>
                  <w:r w:rsidR="00231BEB">
                    <w:rPr>
                      <w:rFonts w:eastAsia="Times New Roman" w:cs="Times New Roman"/>
                      <w:color w:val="000000" w:themeColor="text1"/>
                      <w:lang w:eastAsia="en-NZ"/>
                    </w:rPr>
                    <w:t>l is most prominent in moderate croup and less so in mild or severe croup.</w:t>
                  </w:r>
                  <w:r w:rsidRPr="00231BEB">
                    <w:rPr>
                      <w:rFonts w:eastAsia="Times New Roman" w:cs="Times New Roman"/>
                      <w:color w:val="000000" w:themeColor="text1"/>
                      <w:lang w:eastAsia="en-NZ"/>
                    </w:rPr>
                    <w:t xml:space="preserve"> This is d</w:t>
                  </w:r>
                  <w:r w:rsidR="00231BEB">
                    <w:rPr>
                      <w:rFonts w:eastAsia="Times New Roman" w:cs="Times New Roman"/>
                      <w:color w:val="000000" w:themeColor="text1"/>
                      <w:lang w:eastAsia="en-NZ"/>
                    </w:rPr>
                    <w:t xml:space="preserve">ue to minor obstruction in mild croup </w:t>
                  </w:r>
                  <w:r w:rsidRPr="00231BEB">
                    <w:rPr>
                      <w:rFonts w:eastAsia="Times New Roman" w:cs="Times New Roman"/>
                      <w:color w:val="000000" w:themeColor="text1"/>
                      <w:lang w:eastAsia="en-NZ"/>
                    </w:rPr>
                    <w:t>and d</w:t>
                  </w:r>
                  <w:r w:rsidR="00231BEB">
                    <w:rPr>
                      <w:rFonts w:eastAsia="Times New Roman" w:cs="Times New Roman"/>
                      <w:color w:val="000000" w:themeColor="text1"/>
                      <w:lang w:eastAsia="en-NZ"/>
                    </w:rPr>
                    <w:t>ecreased air movement in severe croup.</w:t>
                  </w:r>
                </w:p>
              </w:tc>
            </w:tr>
            <w:tr w:rsidR="00661BC7" w:rsidRPr="00636EA8" w14:paraId="17DCDE68" w14:textId="77777777" w:rsidTr="00661BC7">
              <w:tc>
                <w:tcPr>
                  <w:tcW w:w="14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08DBA5A7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000000"/>
                      <w:lang w:eastAsia="en-NZ"/>
                    </w:rPr>
                    <w:t>Respiratory rate</w:t>
                  </w:r>
                </w:p>
              </w:tc>
              <w:tc>
                <w:tcPr>
                  <w:tcW w:w="22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6D6E9D5B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Normal</w:t>
                  </w:r>
                </w:p>
              </w:tc>
              <w:tc>
                <w:tcPr>
                  <w:tcW w:w="2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479793E9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Increased respiratory rate</w:t>
                  </w:r>
                </w:p>
                <w:p w14:paraId="1D122232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Tracheal tug</w:t>
                  </w:r>
                </w:p>
                <w:p w14:paraId="5BB695C1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Nasal flaring</w:t>
                  </w:r>
                </w:p>
              </w:tc>
              <w:tc>
                <w:tcPr>
                  <w:tcW w:w="22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069BF2CB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Marked increase or decrease in respiratory rate</w:t>
                  </w:r>
                </w:p>
                <w:p w14:paraId="27BE1BE1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Tracheal tug</w:t>
                  </w:r>
                </w:p>
                <w:p w14:paraId="4340612D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Nasal flaring</w:t>
                  </w:r>
                </w:p>
              </w:tc>
            </w:tr>
            <w:tr w:rsidR="00661BC7" w:rsidRPr="00636EA8" w14:paraId="6CEB67B3" w14:textId="77777777" w:rsidTr="00661BC7">
              <w:tc>
                <w:tcPr>
                  <w:tcW w:w="14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0F4CF435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000000"/>
                      <w:lang w:eastAsia="en-NZ"/>
                    </w:rPr>
                    <w:t>Heart rate</w:t>
                  </w:r>
                </w:p>
              </w:tc>
              <w:tc>
                <w:tcPr>
                  <w:tcW w:w="22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641401E" w14:textId="77777777" w:rsidR="00661BC7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Normal</w:t>
                  </w:r>
                </w:p>
                <w:p w14:paraId="60456E7A" w14:textId="06080DB4" w:rsidR="000F1721" w:rsidRPr="00DF5DF2" w:rsidRDefault="005C00CE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DF5DF2">
                    <w:rPr>
                      <w:rFonts w:eastAsia="Times New Roman" w:cs="Times New Roman"/>
                      <w:color w:val="000000"/>
                      <w:lang w:eastAsia="en-NZ"/>
                    </w:rPr>
                    <w:t>Normal r</w:t>
                  </w:r>
                  <w:r w:rsidR="000F1721" w:rsidRPr="00DF5DF2">
                    <w:rPr>
                      <w:rFonts w:eastAsia="Times New Roman" w:cs="Times New Roman"/>
                      <w:color w:val="000000"/>
                      <w:lang w:eastAsia="en-NZ"/>
                    </w:rPr>
                    <w:t>ange:</w:t>
                  </w:r>
                </w:p>
                <w:p w14:paraId="62AC2545" w14:textId="77777777" w:rsidR="000F1721" w:rsidRPr="00DF5DF2" w:rsidRDefault="000F1721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DF5DF2">
                    <w:rPr>
                      <w:rFonts w:eastAsia="Times New Roman" w:cs="Times New Roman"/>
                      <w:color w:val="000000"/>
                      <w:lang w:eastAsia="en-NZ"/>
                    </w:rPr>
                    <w:t>&lt;1 year: 110-160</w:t>
                  </w:r>
                </w:p>
                <w:p w14:paraId="011EB7F0" w14:textId="77777777" w:rsidR="000F1721" w:rsidRPr="00DF5DF2" w:rsidRDefault="000F1721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DF5DF2">
                    <w:rPr>
                      <w:rFonts w:eastAsia="Times New Roman" w:cs="Times New Roman"/>
                      <w:color w:val="000000"/>
                      <w:lang w:eastAsia="en-NZ"/>
                    </w:rPr>
                    <w:t>1-2 years: 100-150</w:t>
                  </w:r>
                </w:p>
                <w:p w14:paraId="12832CEF" w14:textId="77777777" w:rsidR="000F1721" w:rsidRPr="00636EA8" w:rsidRDefault="000F1721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DF5DF2">
                    <w:rPr>
                      <w:rFonts w:eastAsia="Times New Roman" w:cs="Times New Roman"/>
                      <w:color w:val="000000"/>
                      <w:lang w:eastAsia="en-NZ"/>
                    </w:rPr>
                    <w:t>2-5 years 95-140</w:t>
                  </w:r>
                </w:p>
              </w:tc>
              <w:tc>
                <w:tcPr>
                  <w:tcW w:w="2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4D5F8FE3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Minimal tachycardia at rest</w:t>
                  </w:r>
                </w:p>
              </w:tc>
              <w:tc>
                <w:tcPr>
                  <w:tcW w:w="22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661FCC3F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Marked tachycardia</w:t>
                  </w:r>
                </w:p>
              </w:tc>
            </w:tr>
            <w:tr w:rsidR="00661BC7" w:rsidRPr="00636EA8" w14:paraId="4FA45D43" w14:textId="77777777" w:rsidTr="00661BC7">
              <w:tc>
                <w:tcPr>
                  <w:tcW w:w="14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DF61D90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b/>
                      <w:bCs/>
                      <w:color w:val="000000"/>
                      <w:lang w:eastAsia="en-NZ"/>
                    </w:rPr>
                    <w:t>Accessory muscle use</w:t>
                  </w:r>
                </w:p>
              </w:tc>
              <w:tc>
                <w:tcPr>
                  <w:tcW w:w="22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05D8E792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None or minimal</w:t>
                  </w:r>
                </w:p>
              </w:tc>
              <w:tc>
                <w:tcPr>
                  <w:tcW w:w="2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6D387FBD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Moderate chest wall retraction</w:t>
                  </w:r>
                </w:p>
              </w:tc>
              <w:tc>
                <w:tcPr>
                  <w:tcW w:w="22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2B895C3D" w14:textId="77777777" w:rsidR="00661BC7" w:rsidRPr="00636EA8" w:rsidRDefault="00661BC7" w:rsidP="00661BC7">
                  <w:pPr>
                    <w:spacing w:before="20" w:after="20" w:line="240" w:lineRule="auto"/>
                    <w:textAlignment w:val="baseline"/>
                    <w:rPr>
                      <w:rFonts w:eastAsia="Times New Roman" w:cs="Times New Roman"/>
                      <w:color w:val="000000"/>
                      <w:lang w:eastAsia="en-NZ"/>
                    </w:rPr>
                  </w:pPr>
                  <w:r w:rsidRPr="00636EA8">
                    <w:rPr>
                      <w:rFonts w:eastAsia="Times New Roman" w:cs="Times New Roman"/>
                      <w:color w:val="000000"/>
                      <w:lang w:eastAsia="en-NZ"/>
                    </w:rPr>
                    <w:t>Marked chest wall retraction</w:t>
                  </w:r>
                </w:p>
              </w:tc>
            </w:tr>
          </w:tbl>
          <w:p w14:paraId="6F9AA9A8" w14:textId="77777777" w:rsidR="00636EA8" w:rsidRPr="00636EA8" w:rsidRDefault="00636EA8" w:rsidP="008C5FD0"/>
        </w:tc>
      </w:tr>
      <w:tr w:rsidR="00AA3271" w:rsidRPr="00636EA8" w14:paraId="33C298D8" w14:textId="77777777" w:rsidTr="00AA3271">
        <w:tc>
          <w:tcPr>
            <w:tcW w:w="2592" w:type="dxa"/>
          </w:tcPr>
          <w:p w14:paraId="7DBE3FFC" w14:textId="77777777" w:rsidR="00AA3271" w:rsidRPr="00DF5DF2" w:rsidRDefault="00AA3271">
            <w:pPr>
              <w:rPr>
                <w:b/>
                <w:sz w:val="8"/>
                <w:szCs w:val="8"/>
              </w:rPr>
            </w:pPr>
          </w:p>
        </w:tc>
        <w:tc>
          <w:tcPr>
            <w:tcW w:w="8170" w:type="dxa"/>
          </w:tcPr>
          <w:p w14:paraId="06A99B97" w14:textId="77777777" w:rsidR="00AA3271" w:rsidRPr="00DF5DF2" w:rsidRDefault="00AA3271" w:rsidP="008C5FD0">
            <w:pPr>
              <w:rPr>
                <w:sz w:val="8"/>
                <w:szCs w:val="8"/>
              </w:rPr>
            </w:pPr>
          </w:p>
        </w:tc>
      </w:tr>
      <w:tr w:rsidR="001162FE" w14:paraId="3CC812CD" w14:textId="77777777" w:rsidTr="00AA3271">
        <w:tc>
          <w:tcPr>
            <w:tcW w:w="2592" w:type="dxa"/>
          </w:tcPr>
          <w:p w14:paraId="04860B35" w14:textId="77777777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170" w:type="dxa"/>
          </w:tcPr>
          <w:p w14:paraId="2568B3D7" w14:textId="77777777" w:rsidR="001162FE" w:rsidRPr="00F033C9" w:rsidRDefault="00F033C9">
            <w:pPr>
              <w:rPr>
                <w:b/>
              </w:rPr>
            </w:pPr>
            <w:r w:rsidRPr="00F033C9">
              <w:rPr>
                <w:b/>
              </w:rPr>
              <w:t>Treatment of mild to moderate croup</w:t>
            </w:r>
          </w:p>
        </w:tc>
      </w:tr>
      <w:tr w:rsidR="001162FE" w14:paraId="329717B3" w14:textId="77777777" w:rsidTr="00AA3271">
        <w:tc>
          <w:tcPr>
            <w:tcW w:w="2592" w:type="dxa"/>
          </w:tcPr>
          <w:p w14:paraId="6286183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170" w:type="dxa"/>
          </w:tcPr>
          <w:p w14:paraId="4D5AE1D9" w14:textId="77777777" w:rsidR="001162FE" w:rsidRDefault="00E4087E">
            <w:r w:rsidRPr="00F033C9">
              <w:rPr>
                <w:b/>
              </w:rPr>
              <w:t>Prednisolone</w:t>
            </w:r>
            <w:r w:rsidR="00F033C9">
              <w:t xml:space="preserve"> liquid (</w:t>
            </w:r>
            <w:proofErr w:type="spellStart"/>
            <w:r w:rsidR="00F033C9">
              <w:t>R</w:t>
            </w:r>
            <w:r>
              <w:t>edipred</w:t>
            </w:r>
            <w:proofErr w:type="spellEnd"/>
            <w:r>
              <w:t>)</w:t>
            </w:r>
          </w:p>
        </w:tc>
      </w:tr>
      <w:tr w:rsidR="001162FE" w14:paraId="46078390" w14:textId="77777777" w:rsidTr="00AA3271">
        <w:tc>
          <w:tcPr>
            <w:tcW w:w="2592" w:type="dxa"/>
          </w:tcPr>
          <w:p w14:paraId="69750E02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170" w:type="dxa"/>
          </w:tcPr>
          <w:p w14:paraId="4AA756B7" w14:textId="77777777" w:rsidR="001162FE" w:rsidRDefault="00E4087E">
            <w:r>
              <w:t>1mg/kg for 2 days</w:t>
            </w:r>
          </w:p>
          <w:p w14:paraId="10B68B37" w14:textId="77777777" w:rsidR="00483C67" w:rsidRDefault="00483C67">
            <w:r>
              <w:t>Maximum: 60mg</w:t>
            </w:r>
          </w:p>
        </w:tc>
      </w:tr>
      <w:tr w:rsidR="001162FE" w14:paraId="79A0B996" w14:textId="77777777" w:rsidTr="00AA3271">
        <w:tc>
          <w:tcPr>
            <w:tcW w:w="2592" w:type="dxa"/>
          </w:tcPr>
          <w:p w14:paraId="294F0933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170" w:type="dxa"/>
          </w:tcPr>
          <w:p w14:paraId="5820B3DB" w14:textId="77777777" w:rsidR="001162FE" w:rsidRDefault="00E4087E">
            <w:r>
              <w:t>Oral</w:t>
            </w:r>
          </w:p>
        </w:tc>
      </w:tr>
      <w:tr w:rsidR="001162FE" w14:paraId="50663ACC" w14:textId="77777777" w:rsidTr="00AA3271">
        <w:tc>
          <w:tcPr>
            <w:tcW w:w="2592" w:type="dxa"/>
          </w:tcPr>
          <w:p w14:paraId="25FCB850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170" w:type="dxa"/>
          </w:tcPr>
          <w:p w14:paraId="6B37A29C" w14:textId="77777777" w:rsidR="001162FE" w:rsidRDefault="00E4087E">
            <w:r>
              <w:t>2 days</w:t>
            </w:r>
          </w:p>
        </w:tc>
      </w:tr>
      <w:tr w:rsidR="001162FE" w14:paraId="260BE5B5" w14:textId="77777777" w:rsidTr="00AA3271">
        <w:tc>
          <w:tcPr>
            <w:tcW w:w="2592" w:type="dxa"/>
          </w:tcPr>
          <w:p w14:paraId="7CEA9553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170" w:type="dxa"/>
          </w:tcPr>
          <w:p w14:paraId="4E6F7C99" w14:textId="77777777" w:rsidR="001162FE" w:rsidRDefault="00E4087E">
            <w:r>
              <w:t>Hypersensitivity to prednisolone or any of its excipients</w:t>
            </w:r>
          </w:p>
        </w:tc>
      </w:tr>
      <w:tr w:rsidR="001162FE" w14:paraId="48552E2F" w14:textId="77777777" w:rsidTr="00AA3271">
        <w:tc>
          <w:tcPr>
            <w:tcW w:w="2592" w:type="dxa"/>
          </w:tcPr>
          <w:p w14:paraId="3178085A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170" w:type="dxa"/>
          </w:tcPr>
          <w:p w14:paraId="64E535FE" w14:textId="77777777" w:rsidR="001162FE" w:rsidRDefault="00E4087E" w:rsidP="00E4087E">
            <w:pPr>
              <w:pStyle w:val="ListParagraph"/>
              <w:numPr>
                <w:ilvl w:val="0"/>
                <w:numId w:val="3"/>
              </w:numPr>
            </w:pPr>
            <w:r>
              <w:t>Take with or after food, if possible.</w:t>
            </w:r>
          </w:p>
        </w:tc>
      </w:tr>
      <w:tr w:rsidR="008C2A3F" w14:paraId="74805953" w14:textId="77777777" w:rsidTr="00AA3271">
        <w:tc>
          <w:tcPr>
            <w:tcW w:w="2592" w:type="dxa"/>
          </w:tcPr>
          <w:p w14:paraId="06D9A3E9" w14:textId="5D5C8EB5" w:rsidR="008C2A3F" w:rsidRPr="00DF5DF2" w:rsidRDefault="008C2A3F" w:rsidP="008C2A3F">
            <w:pPr>
              <w:rPr>
                <w:b/>
                <w:sz w:val="8"/>
                <w:szCs w:val="8"/>
              </w:rPr>
            </w:pPr>
          </w:p>
        </w:tc>
        <w:tc>
          <w:tcPr>
            <w:tcW w:w="8170" w:type="dxa"/>
          </w:tcPr>
          <w:p w14:paraId="2EF12760" w14:textId="49B26F17" w:rsidR="00AD0F52" w:rsidRPr="00DF5DF2" w:rsidRDefault="00AD0F52" w:rsidP="008C2A3F">
            <w:pPr>
              <w:rPr>
                <w:sz w:val="8"/>
                <w:szCs w:val="8"/>
              </w:rPr>
            </w:pPr>
          </w:p>
        </w:tc>
      </w:tr>
      <w:tr w:rsidR="00BE5BCE" w14:paraId="0454D310" w14:textId="77777777" w:rsidTr="00AA3271">
        <w:tc>
          <w:tcPr>
            <w:tcW w:w="2592" w:type="dxa"/>
          </w:tcPr>
          <w:p w14:paraId="7AEFC1FB" w14:textId="77777777" w:rsidR="00BE5BCE" w:rsidRPr="00DF5DF2" w:rsidRDefault="00BE5BCE" w:rsidP="008C2A3F">
            <w:pPr>
              <w:rPr>
                <w:b/>
              </w:rPr>
            </w:pPr>
            <w:r w:rsidRPr="00DF5DF2">
              <w:rPr>
                <w:b/>
              </w:rPr>
              <w:t>Indication</w:t>
            </w:r>
          </w:p>
        </w:tc>
        <w:tc>
          <w:tcPr>
            <w:tcW w:w="8170" w:type="dxa"/>
          </w:tcPr>
          <w:p w14:paraId="5AF1ABB3" w14:textId="77777777" w:rsidR="00BE5BCE" w:rsidRPr="00DF5DF2" w:rsidRDefault="00BE5BCE" w:rsidP="008C2A3F">
            <w:pPr>
              <w:rPr>
                <w:b/>
              </w:rPr>
            </w:pPr>
            <w:r w:rsidRPr="00DF5DF2">
              <w:rPr>
                <w:b/>
              </w:rPr>
              <w:t>Treatment of severe croup (signs of severe obstruction)</w:t>
            </w:r>
          </w:p>
        </w:tc>
      </w:tr>
      <w:tr w:rsidR="00AA3271" w14:paraId="3958FFCC" w14:textId="77777777" w:rsidTr="00AA3271">
        <w:tc>
          <w:tcPr>
            <w:tcW w:w="2592" w:type="dxa"/>
          </w:tcPr>
          <w:p w14:paraId="35E7F7E0" w14:textId="2659F5ED" w:rsidR="00AA3271" w:rsidRPr="00DF5DF2" w:rsidRDefault="00AA3271" w:rsidP="008C2A3F">
            <w:pPr>
              <w:rPr>
                <w:b/>
              </w:rPr>
            </w:pPr>
            <w:r w:rsidRPr="00DF5DF2">
              <w:rPr>
                <w:b/>
              </w:rPr>
              <w:t>Medicine</w:t>
            </w:r>
          </w:p>
        </w:tc>
        <w:tc>
          <w:tcPr>
            <w:tcW w:w="8170" w:type="dxa"/>
          </w:tcPr>
          <w:p w14:paraId="1F1D126F" w14:textId="40E8A215" w:rsidR="00AA3271" w:rsidRPr="00DF5DF2" w:rsidRDefault="00AA3271" w:rsidP="008C2A3F">
            <w:r w:rsidRPr="00DF5DF2">
              <w:rPr>
                <w:b/>
              </w:rPr>
              <w:t>Adrenaline</w:t>
            </w:r>
            <w:r w:rsidRPr="00DF5DF2">
              <w:t xml:space="preserve"> 1:1000 (1mg/1mL) solution</w:t>
            </w:r>
          </w:p>
        </w:tc>
      </w:tr>
      <w:tr w:rsidR="00AA3271" w14:paraId="3CB35718" w14:textId="77777777" w:rsidTr="00AA3271">
        <w:tc>
          <w:tcPr>
            <w:tcW w:w="2592" w:type="dxa"/>
          </w:tcPr>
          <w:p w14:paraId="1EB0A85B" w14:textId="4720F97A" w:rsidR="00AA3271" w:rsidRPr="00DF5DF2" w:rsidRDefault="00AA3271" w:rsidP="008C2A3F">
            <w:pPr>
              <w:rPr>
                <w:b/>
              </w:rPr>
            </w:pPr>
            <w:r w:rsidRPr="00DF5DF2">
              <w:rPr>
                <w:b/>
              </w:rPr>
              <w:t>Dosage instructions</w:t>
            </w:r>
          </w:p>
        </w:tc>
        <w:tc>
          <w:tcPr>
            <w:tcW w:w="8170" w:type="dxa"/>
          </w:tcPr>
          <w:p w14:paraId="0CC4EA75" w14:textId="59CB6FF0" w:rsidR="00AA3271" w:rsidRPr="00DF5DF2" w:rsidRDefault="00AA3271" w:rsidP="008C2A3F">
            <w:r w:rsidRPr="00DF5DF2">
              <w:t>Give</w:t>
            </w:r>
            <w:r w:rsidR="006578E2" w:rsidRPr="00DF5DF2">
              <w:t>,</w:t>
            </w:r>
            <w:r w:rsidRPr="00DF5DF2">
              <w:t xml:space="preserve"> </w:t>
            </w:r>
            <w:r w:rsidR="006578E2" w:rsidRPr="00DF5DF2">
              <w:t xml:space="preserve">via nebulisation, </w:t>
            </w:r>
            <w:r w:rsidRPr="00DF5DF2">
              <w:t>0.5 mL/kg/dose of the 1:1000 up to a maximum of 5mL</w:t>
            </w:r>
          </w:p>
          <w:p w14:paraId="7A3775E9" w14:textId="6C9223A6" w:rsidR="00AA3271" w:rsidRPr="00DF5DF2" w:rsidRDefault="00AA3271" w:rsidP="008C2A3F">
            <w:r w:rsidRPr="00DF5DF2">
              <w:t>Make up to at least 4mL volume with normal saline</w:t>
            </w:r>
            <w:r w:rsidR="006578E2" w:rsidRPr="00DF5DF2">
              <w:t xml:space="preserve"> 0.9%</w:t>
            </w:r>
            <w:r w:rsidRPr="00DF5DF2">
              <w:t>, with O2 at 4L/min</w:t>
            </w:r>
          </w:p>
        </w:tc>
      </w:tr>
      <w:tr w:rsidR="00C32C4F" w14:paraId="7C0420D0" w14:textId="77777777" w:rsidTr="00AA3271">
        <w:tc>
          <w:tcPr>
            <w:tcW w:w="2592" w:type="dxa"/>
          </w:tcPr>
          <w:p w14:paraId="3A91D4ED" w14:textId="0194BB01" w:rsidR="00C32C4F" w:rsidRPr="00DF5DF2" w:rsidRDefault="00C32C4F" w:rsidP="008C2A3F">
            <w:pPr>
              <w:rPr>
                <w:b/>
              </w:rPr>
            </w:pPr>
            <w:r w:rsidRPr="00DF5DF2">
              <w:rPr>
                <w:b/>
              </w:rPr>
              <w:t>Route of administration</w:t>
            </w:r>
          </w:p>
        </w:tc>
        <w:tc>
          <w:tcPr>
            <w:tcW w:w="8170" w:type="dxa"/>
          </w:tcPr>
          <w:p w14:paraId="07A264DD" w14:textId="1F152FD7" w:rsidR="00C32C4F" w:rsidRPr="00DF5DF2" w:rsidRDefault="00C32C4F" w:rsidP="008C2A3F">
            <w:r w:rsidRPr="00DF5DF2">
              <w:t>Nebulised</w:t>
            </w:r>
          </w:p>
        </w:tc>
      </w:tr>
      <w:tr w:rsidR="00C32C4F" w14:paraId="3C1ADEB5" w14:textId="77777777" w:rsidTr="00AA3271">
        <w:tc>
          <w:tcPr>
            <w:tcW w:w="2592" w:type="dxa"/>
          </w:tcPr>
          <w:p w14:paraId="69CEA306" w14:textId="41D6C9BD" w:rsidR="00C32C4F" w:rsidRPr="00DF5DF2" w:rsidRDefault="00C32C4F" w:rsidP="008C2A3F">
            <w:pPr>
              <w:rPr>
                <w:b/>
              </w:rPr>
            </w:pPr>
            <w:r w:rsidRPr="00DF5DF2">
              <w:rPr>
                <w:b/>
              </w:rPr>
              <w:t>Quantity to be given</w:t>
            </w:r>
          </w:p>
        </w:tc>
        <w:tc>
          <w:tcPr>
            <w:tcW w:w="8170" w:type="dxa"/>
          </w:tcPr>
          <w:p w14:paraId="3751118B" w14:textId="0AD918EC" w:rsidR="00C32C4F" w:rsidRPr="00DF5DF2" w:rsidRDefault="00C32C4F" w:rsidP="008C2A3F">
            <w:r w:rsidRPr="00DF5DF2">
              <w:t>Max 5mL</w:t>
            </w:r>
          </w:p>
        </w:tc>
      </w:tr>
      <w:tr w:rsidR="00C32C4F" w14:paraId="3C46C232" w14:textId="77777777" w:rsidTr="00AA3271">
        <w:tc>
          <w:tcPr>
            <w:tcW w:w="2592" w:type="dxa"/>
          </w:tcPr>
          <w:p w14:paraId="625ACD8D" w14:textId="68063039" w:rsidR="00C32C4F" w:rsidRPr="00DF5DF2" w:rsidRDefault="00C32C4F" w:rsidP="008C2A3F">
            <w:pPr>
              <w:rPr>
                <w:b/>
              </w:rPr>
            </w:pPr>
            <w:r w:rsidRPr="00DF5DF2">
              <w:rPr>
                <w:b/>
              </w:rPr>
              <w:t>Contraindications</w:t>
            </w:r>
          </w:p>
        </w:tc>
        <w:tc>
          <w:tcPr>
            <w:tcW w:w="8170" w:type="dxa"/>
          </w:tcPr>
          <w:p w14:paraId="508C9541" w14:textId="722EC5BF" w:rsidR="00C32C4F" w:rsidRPr="00DF5DF2" w:rsidRDefault="006578E2" w:rsidP="008C2A3F">
            <w:r w:rsidRPr="00DF5DF2">
              <w:t>History of arrhythmia or congenital heart disease (will need to discuss with a paediatrician)</w:t>
            </w:r>
          </w:p>
        </w:tc>
      </w:tr>
      <w:tr w:rsidR="00C32C4F" w14:paraId="03C80E8E" w14:textId="77777777" w:rsidTr="00AA3271">
        <w:tc>
          <w:tcPr>
            <w:tcW w:w="2592" w:type="dxa"/>
          </w:tcPr>
          <w:p w14:paraId="317C28ED" w14:textId="2CE317CF" w:rsidR="00C32C4F" w:rsidRPr="00DF5DF2" w:rsidRDefault="00C32C4F" w:rsidP="008C2A3F">
            <w:pPr>
              <w:rPr>
                <w:b/>
              </w:rPr>
            </w:pPr>
            <w:r w:rsidRPr="00DF5DF2">
              <w:rPr>
                <w:b/>
              </w:rPr>
              <w:t>Precautions</w:t>
            </w:r>
          </w:p>
        </w:tc>
        <w:tc>
          <w:tcPr>
            <w:tcW w:w="8170" w:type="dxa"/>
          </w:tcPr>
          <w:p w14:paraId="033AD9F4" w14:textId="7CA513F8" w:rsidR="00C32C4F" w:rsidRPr="00DF5DF2" w:rsidRDefault="006578E2" w:rsidP="006578E2">
            <w:pPr>
              <w:pStyle w:val="ListParagraph"/>
              <w:numPr>
                <w:ilvl w:val="0"/>
                <w:numId w:val="3"/>
              </w:numPr>
            </w:pPr>
            <w:r w:rsidRPr="00DF5DF2">
              <w:t>Monitor closely as deterioration may occur rapidly, between 30 minutes and 3 hours later</w:t>
            </w:r>
          </w:p>
        </w:tc>
      </w:tr>
      <w:tr w:rsidR="006578E2" w14:paraId="7F1E9A56" w14:textId="77777777" w:rsidTr="00AA3271">
        <w:tc>
          <w:tcPr>
            <w:tcW w:w="2592" w:type="dxa"/>
          </w:tcPr>
          <w:p w14:paraId="3DFC7AF8" w14:textId="77777777" w:rsidR="006578E2" w:rsidRPr="006578E2" w:rsidRDefault="006578E2" w:rsidP="008C2A3F">
            <w:pPr>
              <w:rPr>
                <w:b/>
                <w:sz w:val="8"/>
                <w:szCs w:val="8"/>
                <w:highlight w:val="yellow"/>
              </w:rPr>
            </w:pPr>
          </w:p>
        </w:tc>
        <w:tc>
          <w:tcPr>
            <w:tcW w:w="8170" w:type="dxa"/>
          </w:tcPr>
          <w:p w14:paraId="1A064F58" w14:textId="77777777" w:rsidR="006578E2" w:rsidRPr="006578E2" w:rsidRDefault="006578E2" w:rsidP="006578E2">
            <w:pPr>
              <w:pStyle w:val="ListParagraph"/>
              <w:rPr>
                <w:sz w:val="8"/>
                <w:szCs w:val="8"/>
                <w:highlight w:val="yellow"/>
              </w:rPr>
            </w:pPr>
          </w:p>
        </w:tc>
      </w:tr>
      <w:tr w:rsidR="006578E2" w14:paraId="72032C15" w14:textId="77777777" w:rsidTr="00AA3271">
        <w:tc>
          <w:tcPr>
            <w:tcW w:w="2592" w:type="dxa"/>
          </w:tcPr>
          <w:p w14:paraId="3ACB461D" w14:textId="725EB3F5" w:rsidR="006578E2" w:rsidRDefault="006578E2" w:rsidP="006578E2">
            <w:pPr>
              <w:rPr>
                <w:b/>
                <w:highlight w:val="yellow"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170" w:type="dxa"/>
          </w:tcPr>
          <w:p w14:paraId="362AB9F0" w14:textId="77777777" w:rsidR="006578E2" w:rsidRDefault="006578E2" w:rsidP="006578E2">
            <w:r>
              <w:t>Consider referral to hospital for moderate croup depending on proximity of hospital, time of day and parents anxiety.</w:t>
            </w:r>
          </w:p>
          <w:p w14:paraId="202BF073" w14:textId="77777777" w:rsidR="006578E2" w:rsidRPr="00E4087E" w:rsidRDefault="006578E2" w:rsidP="006578E2">
            <w:pPr>
              <w:rPr>
                <w:sz w:val="12"/>
                <w:szCs w:val="12"/>
              </w:rPr>
            </w:pPr>
          </w:p>
          <w:p w14:paraId="50B43176" w14:textId="77777777" w:rsidR="006578E2" w:rsidRDefault="006578E2" w:rsidP="006578E2">
            <w:r>
              <w:t xml:space="preserve">If moderate croup, continue to monitor until only suffering from mild croup. </w:t>
            </w:r>
          </w:p>
          <w:p w14:paraId="2BDA52DC" w14:textId="77777777" w:rsidR="006578E2" w:rsidRPr="00E4087E" w:rsidRDefault="006578E2" w:rsidP="006578E2">
            <w:pPr>
              <w:rPr>
                <w:sz w:val="12"/>
                <w:szCs w:val="12"/>
              </w:rPr>
            </w:pPr>
          </w:p>
          <w:p w14:paraId="71A99756" w14:textId="77777777" w:rsidR="006578E2" w:rsidRDefault="006578E2" w:rsidP="006578E2">
            <w:r>
              <w:t xml:space="preserve">Moderate croup usually resolves 2 to 6 hours after taking the prednisolone. </w:t>
            </w:r>
          </w:p>
          <w:p w14:paraId="537461FE" w14:textId="77777777" w:rsidR="006578E2" w:rsidRPr="006578E2" w:rsidRDefault="006578E2" w:rsidP="006578E2">
            <w:pPr>
              <w:rPr>
                <w:sz w:val="8"/>
                <w:szCs w:val="8"/>
              </w:rPr>
            </w:pPr>
          </w:p>
          <w:p w14:paraId="434D773A" w14:textId="7800D83C" w:rsidR="006578E2" w:rsidRDefault="006578E2" w:rsidP="006578E2">
            <w:r>
              <w:t>In severe croup prednisolone can be given if this does not increase the distress of the child.</w:t>
            </w:r>
          </w:p>
          <w:p w14:paraId="121FC125" w14:textId="77777777" w:rsidR="006578E2" w:rsidRPr="00AD0F52" w:rsidRDefault="006578E2" w:rsidP="006578E2">
            <w:pPr>
              <w:rPr>
                <w:sz w:val="12"/>
                <w:szCs w:val="12"/>
              </w:rPr>
            </w:pPr>
          </w:p>
          <w:p w14:paraId="234D92BD" w14:textId="67416881" w:rsidR="006578E2" w:rsidRPr="006578E2" w:rsidRDefault="006578E2" w:rsidP="006578E2">
            <w:pPr>
              <w:rPr>
                <w:highlight w:val="yellow"/>
              </w:rPr>
            </w:pPr>
            <w:r>
              <w:lastRenderedPageBreak/>
              <w:t xml:space="preserve">Refer parents to </w:t>
            </w:r>
            <w:hyperlink r:id="rId9" w:history="1">
              <w:r w:rsidRPr="003A06DC">
                <w:rPr>
                  <w:rStyle w:val="Hyperlink"/>
                </w:rPr>
                <w:t>http://www.kidshealth.org.nz/croup</w:t>
              </w:r>
            </w:hyperlink>
            <w:r>
              <w:t xml:space="preserve"> for further information. </w:t>
            </w:r>
          </w:p>
        </w:tc>
      </w:tr>
      <w:tr w:rsidR="006578E2" w14:paraId="57B2BA67" w14:textId="77777777" w:rsidTr="00AA3271">
        <w:tc>
          <w:tcPr>
            <w:tcW w:w="2592" w:type="dxa"/>
          </w:tcPr>
          <w:p w14:paraId="4531C8E8" w14:textId="7963410C" w:rsidR="006578E2" w:rsidRPr="00DF5DF2" w:rsidRDefault="006578E2" w:rsidP="006578E2">
            <w:pPr>
              <w:rPr>
                <w:b/>
              </w:rPr>
            </w:pPr>
            <w:r w:rsidRPr="00DF5DF2">
              <w:rPr>
                <w:b/>
              </w:rPr>
              <w:lastRenderedPageBreak/>
              <w:t>Follow-up</w:t>
            </w:r>
          </w:p>
        </w:tc>
        <w:tc>
          <w:tcPr>
            <w:tcW w:w="8170" w:type="dxa"/>
          </w:tcPr>
          <w:p w14:paraId="0D193C8C" w14:textId="77777777" w:rsidR="006578E2" w:rsidRPr="00DF5DF2" w:rsidRDefault="006578E2" w:rsidP="006578E2">
            <w:r w:rsidRPr="00DF5DF2">
              <w:t>Following nebulised adrenaline, the child should be admitted to hospital for close observation.</w:t>
            </w:r>
          </w:p>
          <w:p w14:paraId="6A5DA940" w14:textId="77777777" w:rsidR="006578E2" w:rsidRPr="00DF5DF2" w:rsidRDefault="006578E2" w:rsidP="006578E2">
            <w:pPr>
              <w:rPr>
                <w:sz w:val="8"/>
                <w:szCs w:val="8"/>
              </w:rPr>
            </w:pPr>
          </w:p>
          <w:p w14:paraId="21F539AF" w14:textId="7422052C" w:rsidR="006578E2" w:rsidRPr="00DF5DF2" w:rsidRDefault="006578E2" w:rsidP="006578E2">
            <w:r w:rsidRPr="00DF5DF2">
              <w:t>Advise parents what to</w:t>
            </w:r>
            <w:r w:rsidR="00DF5DF2" w:rsidRPr="00DF5DF2">
              <w:t xml:space="preserve"> do if there is a deterioration in mild to moderate croup.</w:t>
            </w:r>
          </w:p>
        </w:tc>
      </w:tr>
      <w:tr w:rsidR="006578E2" w14:paraId="74F34B90" w14:textId="77777777" w:rsidTr="00AA3271">
        <w:tc>
          <w:tcPr>
            <w:tcW w:w="2592" w:type="dxa"/>
          </w:tcPr>
          <w:p w14:paraId="7EA5D45C" w14:textId="77777777" w:rsidR="006578E2" w:rsidRPr="0064385C" w:rsidRDefault="006578E2" w:rsidP="006578E2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170" w:type="dxa"/>
          </w:tcPr>
          <w:p w14:paraId="3AD0D08C" w14:textId="77777777" w:rsidR="006578E2" w:rsidRDefault="006578E2" w:rsidP="006578E2">
            <w:r>
              <w:t>Countersigning is not required. Audited monthly.</w:t>
            </w:r>
          </w:p>
          <w:p w14:paraId="77DD5FE6" w14:textId="77777777" w:rsidR="006578E2" w:rsidRPr="0070113B" w:rsidRDefault="006578E2" w:rsidP="006578E2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02B500FB" w14:textId="77777777" w:rsidR="006578E2" w:rsidRDefault="006578E2" w:rsidP="006578E2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6578E2" w14:paraId="406CE148" w14:textId="77777777" w:rsidTr="00AA3271">
        <w:tc>
          <w:tcPr>
            <w:tcW w:w="2592" w:type="dxa"/>
          </w:tcPr>
          <w:p w14:paraId="34A6BDDD" w14:textId="77777777" w:rsidR="006578E2" w:rsidRPr="0064385C" w:rsidRDefault="006578E2" w:rsidP="006578E2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170" w:type="dxa"/>
          </w:tcPr>
          <w:p w14:paraId="7BCE9D13" w14:textId="77777777" w:rsidR="006578E2" w:rsidRDefault="006578E2" w:rsidP="006578E2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6578E2" w14:paraId="0D7FFAA2" w14:textId="77777777" w:rsidTr="00AA3271">
        <w:tc>
          <w:tcPr>
            <w:tcW w:w="2592" w:type="dxa"/>
          </w:tcPr>
          <w:p w14:paraId="2C0B58E8" w14:textId="77777777" w:rsidR="006578E2" w:rsidRPr="0064385C" w:rsidRDefault="006578E2" w:rsidP="006578E2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170" w:type="dxa"/>
          </w:tcPr>
          <w:p w14:paraId="4A5E7647" w14:textId="77777777" w:rsidR="006578E2" w:rsidRDefault="006578E2" w:rsidP="006578E2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10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24EC4BE6" w14:textId="77777777" w:rsidR="006578E2" w:rsidRDefault="006578E2" w:rsidP="006578E2">
            <w:r>
              <w:t xml:space="preserve">Best Practice Journal at </w:t>
            </w:r>
            <w:hyperlink r:id="rId11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182882AF" w14:textId="77777777" w:rsidR="006578E2" w:rsidRDefault="006578E2" w:rsidP="006578E2">
            <w:r>
              <w:t xml:space="preserve">New Zealand Formulary at </w:t>
            </w:r>
            <w:hyperlink r:id="rId12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652A3C07" w14:textId="77777777" w:rsidR="006578E2" w:rsidRDefault="006578E2" w:rsidP="006578E2">
            <w:r>
              <w:t xml:space="preserve">Individual medicine data sheets at </w:t>
            </w:r>
            <w:hyperlink r:id="rId13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204DCB2F" w14:textId="77777777" w:rsidR="006578E2" w:rsidRDefault="006578E2" w:rsidP="006578E2">
            <w:proofErr w:type="spellStart"/>
            <w:r>
              <w:t>Starship</w:t>
            </w:r>
            <w:proofErr w:type="spellEnd"/>
            <w:r>
              <w:t xml:space="preserve"> Clinical Guidelines </w:t>
            </w:r>
            <w:hyperlink r:id="rId14" w:history="1">
              <w:r w:rsidRPr="003A06DC">
                <w:rPr>
                  <w:rStyle w:val="Hyperlink"/>
                </w:rPr>
                <w:t>www.starship.org.nz</w:t>
              </w:r>
            </w:hyperlink>
            <w:r>
              <w:t xml:space="preserve"> </w:t>
            </w:r>
          </w:p>
          <w:p w14:paraId="6378A077" w14:textId="77777777" w:rsidR="006578E2" w:rsidRDefault="006578E2" w:rsidP="006578E2">
            <w:r>
              <w:t>Standing Order Guidelines, Ministry of Health, 2012</w:t>
            </w:r>
          </w:p>
          <w:p w14:paraId="25B0DFA1" w14:textId="77777777" w:rsidR="006578E2" w:rsidRDefault="006578E2" w:rsidP="006578E2">
            <w:r>
              <w:t>Medicines (Standing Order) Regulations 2012 (Standing Order Regulations)</w:t>
            </w:r>
          </w:p>
        </w:tc>
      </w:tr>
      <w:tr w:rsidR="006578E2" w14:paraId="6AA0B9FE" w14:textId="77777777" w:rsidTr="00AA3271">
        <w:tc>
          <w:tcPr>
            <w:tcW w:w="2592" w:type="dxa"/>
          </w:tcPr>
          <w:p w14:paraId="01BED5D9" w14:textId="77777777" w:rsidR="006578E2" w:rsidRPr="0064385C" w:rsidRDefault="006578E2" w:rsidP="006578E2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170" w:type="dxa"/>
          </w:tcPr>
          <w:p w14:paraId="111E93C4" w14:textId="77777777" w:rsidR="006578E2" w:rsidRDefault="006578E2" w:rsidP="006578E2">
            <w:r w:rsidRPr="008D3C7C">
              <w:rPr>
                <w:u w:val="single"/>
              </w:rPr>
              <w:t xml:space="preserve">Bacterial </w:t>
            </w:r>
            <w:proofErr w:type="spellStart"/>
            <w:r w:rsidRPr="008D3C7C">
              <w:rPr>
                <w:u w:val="single"/>
              </w:rPr>
              <w:t>tracheitis</w:t>
            </w:r>
            <w:proofErr w:type="spellEnd"/>
            <w:r>
              <w:t xml:space="preserve"> – </w:t>
            </w:r>
            <w:r w:rsidRPr="008D3C7C">
              <w:t>invasive exudative bacterial infection of the soft tissues of the trachea</w:t>
            </w:r>
            <w:r>
              <w:t>.</w:t>
            </w:r>
          </w:p>
          <w:p w14:paraId="5D1786F1" w14:textId="77777777" w:rsidR="006578E2" w:rsidRDefault="006578E2" w:rsidP="006578E2">
            <w:r w:rsidRPr="008D3C7C">
              <w:rPr>
                <w:u w:val="single"/>
              </w:rPr>
              <w:t>Epiglottitis</w:t>
            </w:r>
            <w:r w:rsidRPr="008D3C7C">
              <w:t xml:space="preserve"> </w:t>
            </w:r>
            <w:r>
              <w:t xml:space="preserve">- </w:t>
            </w:r>
            <w:r w:rsidRPr="00641602">
              <w:t>is a potentially life-threatening condition that occurs when the epiglottis — a small c</w:t>
            </w:r>
            <w:r>
              <w:t xml:space="preserve">artilage "lid" that covers the </w:t>
            </w:r>
            <w:r w:rsidRPr="00641602">
              <w:t>windpipe — swells, bl</w:t>
            </w:r>
            <w:r>
              <w:t>ocking the flow of air into the</w:t>
            </w:r>
            <w:r w:rsidRPr="00641602">
              <w:t xml:space="preserve"> lungs.</w:t>
            </w:r>
          </w:p>
        </w:tc>
      </w:tr>
    </w:tbl>
    <w:p w14:paraId="330C3B70" w14:textId="77777777" w:rsidR="001162FE" w:rsidRDefault="001162FE"/>
    <w:p w14:paraId="7750FC52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215F41CD" w14:textId="77777777" w:rsidTr="00E4087E">
        <w:tc>
          <w:tcPr>
            <w:tcW w:w="2689" w:type="dxa"/>
          </w:tcPr>
          <w:p w14:paraId="78ECBE50" w14:textId="77777777" w:rsidR="008C2A3F" w:rsidRPr="0064385C" w:rsidRDefault="008C2A3F" w:rsidP="00E4087E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2D4DEBE3" w14:textId="77777777" w:rsidR="008C2A3F" w:rsidRDefault="008C2A3F" w:rsidP="00E4087E"/>
        </w:tc>
      </w:tr>
    </w:tbl>
    <w:p w14:paraId="5E6C233F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5A1B2A4A" w14:textId="77777777" w:rsidTr="00877CF2">
        <w:tc>
          <w:tcPr>
            <w:tcW w:w="2122" w:type="dxa"/>
          </w:tcPr>
          <w:p w14:paraId="7591168E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F323784" w14:textId="77777777" w:rsidR="001162FE" w:rsidRDefault="001162FE"/>
    <w:p w14:paraId="2488AC9B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2A526E22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3E8DFE59" w14:textId="77777777" w:rsidTr="0064385C">
        <w:trPr>
          <w:trHeight w:val="123"/>
        </w:trPr>
        <w:tc>
          <w:tcPr>
            <w:tcW w:w="4531" w:type="dxa"/>
          </w:tcPr>
          <w:p w14:paraId="3757CE31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68638049" w14:textId="77777777" w:rsidR="001162FE" w:rsidRDefault="001162FE"/>
    <w:p w14:paraId="4C3D5632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6820A8A8" w14:textId="77777777" w:rsidR="001162FE" w:rsidRDefault="001162FE">
      <w:r>
        <w:t>We the undersigned agree that we have read, understood and will comply with this standing order and all associated documents.</w:t>
      </w:r>
    </w:p>
    <w:p w14:paraId="47F335D5" w14:textId="77777777" w:rsidR="001162FE" w:rsidRDefault="001162FE"/>
    <w:p w14:paraId="58650F6F" w14:textId="77777777" w:rsidR="001162FE" w:rsidRDefault="001162FE">
      <w:r>
        <w:t>Name: ______________________   Signature: __________________________  Date: ______________</w:t>
      </w:r>
    </w:p>
    <w:p w14:paraId="380DF41C" w14:textId="77777777" w:rsidR="001162FE" w:rsidRDefault="001162FE" w:rsidP="001162FE">
      <w:r>
        <w:t>Name: ______________________   Signature: __________________________  Date: ______________</w:t>
      </w:r>
    </w:p>
    <w:p w14:paraId="0A5AA766" w14:textId="77777777" w:rsidR="001162FE" w:rsidRDefault="001162FE" w:rsidP="001162FE">
      <w:r>
        <w:t>Name: ______________________   Signature: __________________________  Date: ______________</w:t>
      </w:r>
    </w:p>
    <w:p w14:paraId="52D4A3A2" w14:textId="77777777" w:rsidR="001162FE" w:rsidRDefault="001162FE" w:rsidP="001162FE">
      <w:r>
        <w:t>Name: ______________________   Signature: __________________________  Date: ______________</w:t>
      </w:r>
    </w:p>
    <w:p w14:paraId="429664CE" w14:textId="77777777" w:rsidR="001162FE" w:rsidRDefault="001162FE"/>
    <w:sectPr w:rsidR="001162FE" w:rsidSect="00D270A8">
      <w:footerReference w:type="default" r:id="rId15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6CF45" w14:textId="77777777" w:rsidR="006578E2" w:rsidRDefault="006578E2" w:rsidP="008C5FD0">
      <w:pPr>
        <w:spacing w:after="0" w:line="240" w:lineRule="auto"/>
      </w:pPr>
      <w:r>
        <w:separator/>
      </w:r>
    </w:p>
  </w:endnote>
  <w:endnote w:type="continuationSeparator" w:id="0">
    <w:p w14:paraId="3D28032E" w14:textId="77777777" w:rsidR="006578E2" w:rsidRDefault="006578E2" w:rsidP="008C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FA0A0" w14:textId="77777777" w:rsidR="006578E2" w:rsidRDefault="006578E2">
    <w:pPr>
      <w:pStyle w:val="Footer"/>
    </w:pPr>
    <w:r>
      <w:t>Croup Standing Order</w:t>
    </w:r>
    <w:r>
      <w:tab/>
      <w:t>September 2015</w:t>
    </w:r>
    <w:r>
      <w:tab/>
    </w:r>
    <w:proofErr w:type="spellStart"/>
    <w:r>
      <w:t>WellSouth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01880" w14:textId="77777777" w:rsidR="006578E2" w:rsidRDefault="006578E2" w:rsidP="008C5FD0">
      <w:pPr>
        <w:spacing w:after="0" w:line="240" w:lineRule="auto"/>
      </w:pPr>
      <w:r>
        <w:separator/>
      </w:r>
    </w:p>
  </w:footnote>
  <w:footnote w:type="continuationSeparator" w:id="0">
    <w:p w14:paraId="28BAA082" w14:textId="77777777" w:rsidR="006578E2" w:rsidRDefault="006578E2" w:rsidP="008C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6C89"/>
    <w:multiLevelType w:val="hybridMultilevel"/>
    <w:tmpl w:val="1C36A9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D46EC"/>
    <w:multiLevelType w:val="hybridMultilevel"/>
    <w:tmpl w:val="280E26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667AB"/>
    <w:multiLevelType w:val="hybridMultilevel"/>
    <w:tmpl w:val="0ECAA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42DC7"/>
    <w:rsid w:val="000E47A6"/>
    <w:rsid w:val="000F1721"/>
    <w:rsid w:val="001162FE"/>
    <w:rsid w:val="00123A68"/>
    <w:rsid w:val="001C40F7"/>
    <w:rsid w:val="00231BEB"/>
    <w:rsid w:val="002A4F5D"/>
    <w:rsid w:val="003D189C"/>
    <w:rsid w:val="003D47B0"/>
    <w:rsid w:val="00476AA6"/>
    <w:rsid w:val="00483C67"/>
    <w:rsid w:val="005216BC"/>
    <w:rsid w:val="005C00CE"/>
    <w:rsid w:val="00636EA8"/>
    <w:rsid w:val="00641602"/>
    <w:rsid w:val="0064385C"/>
    <w:rsid w:val="006578E2"/>
    <w:rsid w:val="00661BC7"/>
    <w:rsid w:val="0070113B"/>
    <w:rsid w:val="00732729"/>
    <w:rsid w:val="00853012"/>
    <w:rsid w:val="00877CF2"/>
    <w:rsid w:val="008C2A3F"/>
    <w:rsid w:val="008C5FD0"/>
    <w:rsid w:val="008D3C7C"/>
    <w:rsid w:val="00920E8C"/>
    <w:rsid w:val="009227EA"/>
    <w:rsid w:val="009604A1"/>
    <w:rsid w:val="00AA2C7B"/>
    <w:rsid w:val="00AA3271"/>
    <w:rsid w:val="00AD0F52"/>
    <w:rsid w:val="00AE0E99"/>
    <w:rsid w:val="00BE5BCE"/>
    <w:rsid w:val="00C32C4F"/>
    <w:rsid w:val="00D270A8"/>
    <w:rsid w:val="00DF5DF2"/>
    <w:rsid w:val="00E4087E"/>
    <w:rsid w:val="00E96692"/>
    <w:rsid w:val="00F0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2599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D0"/>
  </w:style>
  <w:style w:type="paragraph" w:styleId="Footer">
    <w:name w:val="footer"/>
    <w:basedOn w:val="Normal"/>
    <w:link w:val="FooterChar"/>
    <w:uiPriority w:val="99"/>
    <w:unhideWhenUsed/>
    <w:rsid w:val="008C5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D0"/>
  </w:style>
  <w:style w:type="paragraph" w:styleId="ListParagraph">
    <w:name w:val="List Paragraph"/>
    <w:basedOn w:val="Normal"/>
    <w:uiPriority w:val="34"/>
    <w:qFormat/>
    <w:rsid w:val="008C5FD0"/>
    <w:pPr>
      <w:ind w:left="720"/>
      <w:contextualSpacing/>
    </w:pPr>
  </w:style>
  <w:style w:type="paragraph" w:customStyle="1" w:styleId="tablebodytext">
    <w:name w:val="tablebodytext"/>
    <w:basedOn w:val="Normal"/>
    <w:rsid w:val="00636EA8"/>
    <w:pPr>
      <w:spacing w:before="20" w:after="20" w:line="240" w:lineRule="auto"/>
      <w:textAlignment w:val="baseline"/>
    </w:pPr>
    <w:rPr>
      <w:rFonts w:ascii="Verdana" w:eastAsia="Times New Roman" w:hAnsi="Verdana" w:cs="Times New Roman"/>
      <w:color w:val="000000"/>
      <w:sz w:val="24"/>
      <w:szCs w:val="24"/>
      <w:lang w:eastAsia="en-NZ"/>
    </w:rPr>
  </w:style>
  <w:style w:type="paragraph" w:customStyle="1" w:styleId="tableheading">
    <w:name w:val="tableheading"/>
    <w:basedOn w:val="Normal"/>
    <w:rsid w:val="00636EA8"/>
    <w:pPr>
      <w:spacing w:before="240" w:after="0" w:line="240" w:lineRule="auto"/>
      <w:jc w:val="center"/>
      <w:textAlignment w:val="baseline"/>
    </w:pPr>
    <w:rPr>
      <w:rFonts w:ascii="Verdana" w:eastAsia="Times New Roman" w:hAnsi="Verdana" w:cs="Times New Roman"/>
      <w:b/>
      <w:bCs/>
      <w:color w:val="E2332D"/>
      <w:sz w:val="24"/>
      <w:szCs w:val="24"/>
      <w:lang w:eastAsia="en-NZ"/>
    </w:rPr>
  </w:style>
  <w:style w:type="paragraph" w:customStyle="1" w:styleId="note">
    <w:name w:val="note"/>
    <w:basedOn w:val="Normal"/>
    <w:rsid w:val="00636EA8"/>
    <w:pPr>
      <w:pBdr>
        <w:top w:val="single" w:sz="6" w:space="4" w:color="1F1F1F"/>
        <w:bottom w:val="single" w:sz="6" w:space="4" w:color="1F1F1F"/>
      </w:pBdr>
      <w:spacing w:before="120" w:after="120" w:line="240" w:lineRule="auto"/>
      <w:ind w:right="120"/>
      <w:textAlignment w:val="baseline"/>
    </w:pPr>
    <w:rPr>
      <w:rFonts w:ascii="Verdana" w:eastAsia="Times New Roman" w:hAnsi="Verdana" w:cs="Times New Roman"/>
      <w:color w:val="0F0F0F"/>
      <w:sz w:val="24"/>
      <w:szCs w:val="24"/>
      <w:lang w:eastAsia="en-NZ"/>
    </w:rPr>
  </w:style>
  <w:style w:type="character" w:customStyle="1" w:styleId="notebold1">
    <w:name w:val="notebold1"/>
    <w:basedOn w:val="DefaultParagraphFont"/>
    <w:rsid w:val="00636EA8"/>
    <w:rPr>
      <w:rFonts w:ascii="Verdana" w:hAnsi="Verdana" w:hint="default"/>
      <w:b/>
      <w:bCs/>
      <w:vanish w:val="0"/>
      <w:webHidden w:val="0"/>
      <w:color w:val="000000"/>
      <w:vertAlign w:val="baseline"/>
      <w:specVanish w:val="0"/>
    </w:rPr>
  </w:style>
  <w:style w:type="character" w:customStyle="1" w:styleId="highlight1">
    <w:name w:val="highlight1"/>
    <w:basedOn w:val="DefaultParagraphFont"/>
    <w:rsid w:val="00636EA8"/>
    <w:rPr>
      <w:shd w:val="clear" w:color="auto" w:fill="FFFF4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2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0106">
      <w:bodyDiv w:val="1"/>
      <w:marLeft w:val="1"/>
      <w:marRight w:val="3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dsafe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zf.org.n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ac.org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ealthpathways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dshealth.org.nz/croup" TargetMode="External"/><Relationship Id="rId14" Type="http://schemas.openxmlformats.org/officeDocument/2006/relationships/hyperlink" Target="http://www.starship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DA9D-ADBC-4011-AEEF-8B6BCEE0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938053FB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2</cp:revision>
  <dcterms:created xsi:type="dcterms:W3CDTF">2015-12-09T21:28:00Z</dcterms:created>
  <dcterms:modified xsi:type="dcterms:W3CDTF">2015-12-09T21:28:00Z</dcterms:modified>
</cp:coreProperties>
</file>