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73EE6" w14:textId="5D8F7229"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083CB6B1" wp14:editId="1C39692A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proofErr w:type="spellStart"/>
      <w:r w:rsidR="00D131A2">
        <w:rPr>
          <w:b/>
          <w:sz w:val="28"/>
          <w:szCs w:val="28"/>
        </w:rPr>
        <w:t>Depo-provera</w:t>
      </w:r>
      <w:proofErr w:type="spellEnd"/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302A4CC8" w14:textId="77777777" w:rsidTr="00877CF2">
        <w:trPr>
          <w:jc w:val="center"/>
        </w:trPr>
        <w:tc>
          <w:tcPr>
            <w:tcW w:w="1555" w:type="dxa"/>
          </w:tcPr>
          <w:p w14:paraId="4874CF9A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444D1CD0" w14:textId="77777777" w:rsidR="001162FE" w:rsidRDefault="001162FE"/>
        </w:tc>
        <w:tc>
          <w:tcPr>
            <w:tcW w:w="1843" w:type="dxa"/>
          </w:tcPr>
          <w:p w14:paraId="5D57378B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75FAC37B" w14:textId="77777777" w:rsidR="001162FE" w:rsidRDefault="001162FE"/>
        </w:tc>
      </w:tr>
    </w:tbl>
    <w:p w14:paraId="61D05B50" w14:textId="77777777" w:rsidR="001162FE" w:rsidRDefault="001162FE"/>
    <w:p w14:paraId="114BF0EB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14:paraId="2E7C3EEB" w14:textId="77777777" w:rsidTr="001162FE">
        <w:tc>
          <w:tcPr>
            <w:tcW w:w="2689" w:type="dxa"/>
          </w:tcPr>
          <w:p w14:paraId="29662D95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14:paraId="4FEF682C" w14:textId="570B319F" w:rsidR="001162FE" w:rsidRDefault="00DB7631">
            <w:r>
              <w:t>Long-acting reversible contraception</w:t>
            </w:r>
          </w:p>
        </w:tc>
      </w:tr>
      <w:tr w:rsidR="001162FE" w14:paraId="38F58296" w14:textId="77777777" w:rsidTr="001162FE">
        <w:tc>
          <w:tcPr>
            <w:tcW w:w="2689" w:type="dxa"/>
          </w:tcPr>
          <w:p w14:paraId="6F869C87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14:paraId="1A2FDB1C" w14:textId="69F9B07C" w:rsidR="001162FE" w:rsidRDefault="00754599" w:rsidP="006374D5">
            <w:r>
              <w:t xml:space="preserve">To safely and appropriately </w:t>
            </w:r>
            <w:r w:rsidR="006374D5">
              <w:t xml:space="preserve">administer </w:t>
            </w:r>
            <w:r w:rsidR="00DB7631">
              <w:t xml:space="preserve">long-acting reversible </w:t>
            </w:r>
            <w:r>
              <w:t>contraception to women.</w:t>
            </w:r>
          </w:p>
        </w:tc>
      </w:tr>
      <w:tr w:rsidR="001162FE" w14:paraId="085E7890" w14:textId="77777777" w:rsidTr="001162FE">
        <w:tc>
          <w:tcPr>
            <w:tcW w:w="2689" w:type="dxa"/>
          </w:tcPr>
          <w:p w14:paraId="3D9F7DEC" w14:textId="77777777"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14:paraId="2A2478BF" w14:textId="1094F1C9" w:rsidR="00210EC1" w:rsidRDefault="008168D8" w:rsidP="00E64596">
            <w:r>
              <w:t xml:space="preserve">Women who </w:t>
            </w:r>
            <w:r w:rsidR="00D131A2">
              <w:t xml:space="preserve">have no contraindications to medroxyprogesterone or its excipients. </w:t>
            </w:r>
          </w:p>
          <w:p w14:paraId="2AAEA0E0" w14:textId="74D798E7" w:rsidR="001162FE" w:rsidRDefault="00D131A2" w:rsidP="00E64596">
            <w:proofErr w:type="spellStart"/>
            <w:r>
              <w:t>Depo-provera</w:t>
            </w:r>
            <w:proofErr w:type="spellEnd"/>
            <w:r>
              <w:t xml:space="preserve"> is a progestogen contraceptive and prevents pregnancy by stopping the ovaries releasing an egg and changes the lining of the womb.</w:t>
            </w:r>
          </w:p>
        </w:tc>
      </w:tr>
      <w:tr w:rsidR="001162FE" w14:paraId="38EF8EF4" w14:textId="77777777" w:rsidTr="001162FE">
        <w:tc>
          <w:tcPr>
            <w:tcW w:w="2689" w:type="dxa"/>
          </w:tcPr>
          <w:p w14:paraId="37759CB9" w14:textId="558BCD10"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14:paraId="360A275F" w14:textId="337C7B56" w:rsidR="004D70C1" w:rsidRDefault="00310587" w:rsidP="004D70C1">
            <w:r>
              <w:t xml:space="preserve">1. Check height, weight, </w:t>
            </w:r>
            <w:r w:rsidR="004D70C1">
              <w:t>BMI</w:t>
            </w:r>
            <w:r>
              <w:t xml:space="preserve"> and smoking status</w:t>
            </w:r>
          </w:p>
          <w:p w14:paraId="3E9529E6" w14:textId="77777777" w:rsidR="008D2277" w:rsidRPr="008D2277" w:rsidRDefault="008D2277" w:rsidP="004D70C1">
            <w:pPr>
              <w:rPr>
                <w:sz w:val="12"/>
                <w:szCs w:val="12"/>
              </w:rPr>
            </w:pPr>
          </w:p>
          <w:p w14:paraId="7B7533D8" w14:textId="77777777" w:rsidR="001162FE" w:rsidRDefault="004D70C1" w:rsidP="004D70C1">
            <w:r>
              <w:t>2. Check BP</w:t>
            </w:r>
          </w:p>
          <w:p w14:paraId="5A52D6C2" w14:textId="77777777" w:rsidR="008D2277" w:rsidRPr="008D2277" w:rsidRDefault="008D2277" w:rsidP="004D70C1">
            <w:pPr>
              <w:rPr>
                <w:sz w:val="12"/>
                <w:szCs w:val="12"/>
              </w:rPr>
            </w:pPr>
          </w:p>
          <w:p w14:paraId="3705C2E5" w14:textId="77777777" w:rsidR="00440938" w:rsidRDefault="00E238FF" w:rsidP="004D70C1">
            <w:r>
              <w:t>3.</w:t>
            </w:r>
            <w:r w:rsidR="00440938">
              <w:t xml:space="preserve"> Exclude pregnancy</w:t>
            </w:r>
          </w:p>
          <w:p w14:paraId="73128CAD" w14:textId="77777777" w:rsidR="008D2277" w:rsidRPr="008D2277" w:rsidRDefault="008D2277" w:rsidP="004D70C1">
            <w:pPr>
              <w:rPr>
                <w:sz w:val="12"/>
                <w:szCs w:val="12"/>
              </w:rPr>
            </w:pPr>
          </w:p>
          <w:p w14:paraId="3D0C6185" w14:textId="77777777" w:rsidR="00E238FF" w:rsidRDefault="003378CB" w:rsidP="000A1A99">
            <w:r>
              <w:t xml:space="preserve">4. Check for contraindications </w:t>
            </w:r>
            <w:r w:rsidR="00210EC1">
              <w:t xml:space="preserve">and </w:t>
            </w:r>
            <w:r w:rsidR="00D131A2">
              <w:t>precautions, such as bone mineral density risk factors</w:t>
            </w:r>
          </w:p>
          <w:p w14:paraId="1F05F952" w14:textId="77777777" w:rsidR="00A23933" w:rsidRPr="00A23933" w:rsidRDefault="00A23933" w:rsidP="000A1A99">
            <w:pPr>
              <w:rPr>
                <w:sz w:val="12"/>
                <w:szCs w:val="12"/>
              </w:rPr>
            </w:pPr>
          </w:p>
          <w:p w14:paraId="17126D15" w14:textId="433A75A3" w:rsidR="00A23933" w:rsidRDefault="00A23933" w:rsidP="000A1A99">
            <w:r>
              <w:t>5. Record the UK MEC category when first prescribed and with any new medical history</w:t>
            </w:r>
          </w:p>
        </w:tc>
      </w:tr>
      <w:tr w:rsidR="001162FE" w14:paraId="4A052C31" w14:textId="77777777" w:rsidTr="001162FE">
        <w:tc>
          <w:tcPr>
            <w:tcW w:w="2689" w:type="dxa"/>
          </w:tcPr>
          <w:p w14:paraId="594BF5B0" w14:textId="77777777"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521D52FA" w14:textId="3A2EC4DB" w:rsidR="001162FE" w:rsidRPr="00CD470C" w:rsidRDefault="00DB7631">
            <w:pPr>
              <w:rPr>
                <w:b/>
              </w:rPr>
            </w:pPr>
            <w:r>
              <w:rPr>
                <w:b/>
              </w:rPr>
              <w:t>Long-acting reversible contraception</w:t>
            </w:r>
          </w:p>
        </w:tc>
      </w:tr>
      <w:tr w:rsidR="001162FE" w14:paraId="2E27185A" w14:textId="77777777" w:rsidTr="001162FE">
        <w:tc>
          <w:tcPr>
            <w:tcW w:w="2689" w:type="dxa"/>
          </w:tcPr>
          <w:p w14:paraId="437D38CE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35F90AFB" w14:textId="60180125" w:rsidR="001162FE" w:rsidRDefault="00D131A2" w:rsidP="00310587">
            <w:r>
              <w:t>Medroxyprogesterone 150mg (</w:t>
            </w:r>
            <w:proofErr w:type="spellStart"/>
            <w:r w:rsidRPr="00D131A2">
              <w:rPr>
                <w:b/>
              </w:rPr>
              <w:t>Depo-provera</w:t>
            </w:r>
            <w:proofErr w:type="spellEnd"/>
            <w:r>
              <w:t>)</w:t>
            </w:r>
          </w:p>
        </w:tc>
      </w:tr>
      <w:tr w:rsidR="001162FE" w14:paraId="665C9871" w14:textId="77777777" w:rsidTr="001162FE">
        <w:tc>
          <w:tcPr>
            <w:tcW w:w="2689" w:type="dxa"/>
          </w:tcPr>
          <w:p w14:paraId="2CDDEE04" w14:textId="77777777"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4A6A2D67" w14:textId="13D4A704" w:rsidR="001162FE" w:rsidRDefault="00D131A2" w:rsidP="00CD470C">
            <w:r w:rsidRPr="00D131A2">
              <w:t xml:space="preserve">One injection (150mg medroxyprogesterone) </w:t>
            </w:r>
            <w:r>
              <w:t xml:space="preserve">to be injected intramuscularly </w:t>
            </w:r>
            <w:r w:rsidRPr="00D131A2">
              <w:t>every 12 weeks</w:t>
            </w:r>
          </w:p>
        </w:tc>
      </w:tr>
      <w:tr w:rsidR="001162FE" w14:paraId="412E3599" w14:textId="77777777" w:rsidTr="001162FE">
        <w:tc>
          <w:tcPr>
            <w:tcW w:w="2689" w:type="dxa"/>
          </w:tcPr>
          <w:p w14:paraId="09510C0F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0548493C" w14:textId="072B8C31" w:rsidR="001162FE" w:rsidRDefault="00D131A2" w:rsidP="00210EC1">
            <w:r>
              <w:t xml:space="preserve">Intra-muscular into the gluteal or deltoid muscle </w:t>
            </w:r>
          </w:p>
        </w:tc>
      </w:tr>
      <w:tr w:rsidR="001162FE" w14:paraId="2EFD3587" w14:textId="77777777" w:rsidTr="001162FE">
        <w:tc>
          <w:tcPr>
            <w:tcW w:w="2689" w:type="dxa"/>
          </w:tcPr>
          <w:p w14:paraId="24CB0E44" w14:textId="77777777"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1C7E2925" w14:textId="103B9428" w:rsidR="00CD470C" w:rsidRDefault="00D131A2">
            <w:r>
              <w:t xml:space="preserve">One injection (150mg medroxyprogesterone) every 12 weeks. </w:t>
            </w:r>
          </w:p>
        </w:tc>
      </w:tr>
      <w:tr w:rsidR="001162FE" w14:paraId="608695B5" w14:textId="77777777" w:rsidTr="001162FE">
        <w:tc>
          <w:tcPr>
            <w:tcW w:w="2689" w:type="dxa"/>
          </w:tcPr>
          <w:p w14:paraId="42FB41A7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418AC1AA" w14:textId="77777777" w:rsidR="008D2277" w:rsidRDefault="00D131A2" w:rsidP="009255C8">
            <w:pPr>
              <w:pStyle w:val="ListParagraph"/>
              <w:numPr>
                <w:ilvl w:val="0"/>
                <w:numId w:val="15"/>
              </w:numPr>
            </w:pPr>
            <w:r>
              <w:t>Breast cancer</w:t>
            </w:r>
          </w:p>
          <w:p w14:paraId="0E1E0BC4" w14:textId="77777777" w:rsidR="00D131A2" w:rsidRDefault="00D131A2" w:rsidP="009255C8">
            <w:pPr>
              <w:pStyle w:val="ListParagraph"/>
              <w:numPr>
                <w:ilvl w:val="0"/>
                <w:numId w:val="15"/>
              </w:numPr>
            </w:pPr>
            <w:r>
              <w:t>Pregnancy</w:t>
            </w:r>
          </w:p>
          <w:p w14:paraId="30A52ACD" w14:textId="4B67D642" w:rsidR="00D131A2" w:rsidRDefault="00D131A2" w:rsidP="009255C8">
            <w:pPr>
              <w:pStyle w:val="ListParagraph"/>
              <w:numPr>
                <w:ilvl w:val="0"/>
                <w:numId w:val="15"/>
              </w:numPr>
            </w:pPr>
            <w:r>
              <w:t>Severe liver dysfunction</w:t>
            </w:r>
          </w:p>
          <w:p w14:paraId="52AD619D" w14:textId="1DFDE775" w:rsidR="00D131A2" w:rsidRDefault="00D131A2" w:rsidP="009255C8">
            <w:pPr>
              <w:pStyle w:val="ListParagraph"/>
              <w:numPr>
                <w:ilvl w:val="0"/>
                <w:numId w:val="15"/>
              </w:numPr>
            </w:pPr>
            <w:r>
              <w:t>Known hypersensitivity to medroxyprogesterone or its excipients</w:t>
            </w:r>
          </w:p>
        </w:tc>
      </w:tr>
      <w:tr w:rsidR="001162FE" w14:paraId="71449F59" w14:textId="77777777" w:rsidTr="001162FE">
        <w:tc>
          <w:tcPr>
            <w:tcW w:w="2689" w:type="dxa"/>
          </w:tcPr>
          <w:p w14:paraId="262A1A25" w14:textId="31B6150E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</w:tcPr>
          <w:p w14:paraId="1C472AE0" w14:textId="5F5B02E4" w:rsidR="008D2277" w:rsidRDefault="00D131A2" w:rsidP="009408C8">
            <w:r>
              <w:t xml:space="preserve">Check the women’s history to assess for low bone mineral density. </w:t>
            </w:r>
          </w:p>
        </w:tc>
      </w:tr>
      <w:tr w:rsidR="008C2A3F" w14:paraId="403A803D" w14:textId="77777777" w:rsidTr="001162FE">
        <w:tc>
          <w:tcPr>
            <w:tcW w:w="2689" w:type="dxa"/>
          </w:tcPr>
          <w:p w14:paraId="70A22093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14:paraId="3D5813EE" w14:textId="77777777" w:rsidR="00B070B2" w:rsidRDefault="00B070B2" w:rsidP="00B070B2">
            <w:pPr>
              <w:rPr>
                <w:lang w:val="en-GB"/>
              </w:rPr>
            </w:pPr>
            <w:r>
              <w:rPr>
                <w:lang w:val="en-GB"/>
              </w:rPr>
              <w:t>Small risk of anaphylaxis, therefore patient should wait for 20 minutes post injection.</w:t>
            </w:r>
          </w:p>
          <w:p w14:paraId="28BA68A1" w14:textId="77777777" w:rsidR="00B070B2" w:rsidRPr="00B070B2" w:rsidRDefault="00B070B2" w:rsidP="00FB332B">
            <w:pPr>
              <w:rPr>
                <w:sz w:val="12"/>
                <w:szCs w:val="12"/>
                <w:lang w:val="en-GB"/>
              </w:rPr>
            </w:pPr>
          </w:p>
          <w:p w14:paraId="0ACF9A60" w14:textId="290D2B02" w:rsidR="00013A69" w:rsidRDefault="00013A69" w:rsidP="00FB332B">
            <w:pPr>
              <w:rPr>
                <w:lang w:val="en-GB"/>
              </w:rPr>
            </w:pPr>
            <w:r>
              <w:rPr>
                <w:lang w:val="en-GB"/>
              </w:rPr>
              <w:t xml:space="preserve">Advise the women that other methods of contraception need to be used for 7 days </w:t>
            </w:r>
            <w:r w:rsidR="00210EC1">
              <w:rPr>
                <w:lang w:val="en-GB"/>
              </w:rPr>
              <w:t>if i</w:t>
            </w:r>
            <w:r w:rsidR="006374D5">
              <w:rPr>
                <w:lang w:val="en-GB"/>
              </w:rPr>
              <w:t>njected</w:t>
            </w:r>
            <w:r w:rsidR="00210EC1">
              <w:rPr>
                <w:lang w:val="en-GB"/>
              </w:rPr>
              <w:t xml:space="preserve"> after day 5 of menstrual cycle.</w:t>
            </w:r>
          </w:p>
          <w:p w14:paraId="5962183C" w14:textId="77777777" w:rsidR="00013A69" w:rsidRPr="00210EC1" w:rsidRDefault="00013A69" w:rsidP="00FB332B">
            <w:pPr>
              <w:rPr>
                <w:sz w:val="10"/>
                <w:szCs w:val="10"/>
                <w:lang w:val="en-GB"/>
              </w:rPr>
            </w:pPr>
          </w:p>
          <w:p w14:paraId="3022C6B7" w14:textId="6C01D947" w:rsidR="00FB332B" w:rsidRDefault="00FB332B" w:rsidP="00FB332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Advise</w:t>
            </w:r>
            <w:proofErr w:type="spellEnd"/>
            <w:r>
              <w:rPr>
                <w:lang w:val="en-GB"/>
              </w:rPr>
              <w:t xml:space="preserve"> regarding s</w:t>
            </w:r>
            <w:r w:rsidRPr="00FB332B">
              <w:rPr>
                <w:lang w:val="en-GB"/>
              </w:rPr>
              <w:t>ide effects:</w:t>
            </w:r>
          </w:p>
          <w:p w14:paraId="2139F17D" w14:textId="19B0FDD0" w:rsidR="00AD2885" w:rsidRDefault="00AD2885" w:rsidP="00AD2885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>Irregular or prolonged periods especially in the first 3-6 months</w:t>
            </w:r>
          </w:p>
          <w:p w14:paraId="5DB30562" w14:textId="5B2372D0" w:rsidR="00AD2885" w:rsidRDefault="00AD2885" w:rsidP="00AD2885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>Weight changes</w:t>
            </w:r>
          </w:p>
          <w:p w14:paraId="0418547A" w14:textId="4A85157B" w:rsidR="00B46DBE" w:rsidRPr="00B46DBE" w:rsidRDefault="00B46DBE" w:rsidP="00B46DBE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>Headache</w:t>
            </w:r>
            <w:r w:rsidR="00C708EB">
              <w:rPr>
                <w:lang w:val="en-GB"/>
              </w:rPr>
              <w:t>, decreased libido, hot flushes, vaginitis and acne</w:t>
            </w:r>
          </w:p>
          <w:p w14:paraId="3605D7C6" w14:textId="0452206F" w:rsidR="00AD2885" w:rsidRPr="00AD2885" w:rsidRDefault="00AD2885" w:rsidP="00AD2885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>Can decrease bone mineral density. This improves after cessation</w:t>
            </w:r>
          </w:p>
          <w:p w14:paraId="5C7B4E9F" w14:textId="77777777" w:rsidR="0083117A" w:rsidRPr="0083117A" w:rsidRDefault="0083117A" w:rsidP="0083117A">
            <w:pPr>
              <w:pStyle w:val="ListParagraph"/>
              <w:rPr>
                <w:sz w:val="12"/>
                <w:szCs w:val="12"/>
              </w:rPr>
            </w:pPr>
          </w:p>
          <w:p w14:paraId="1D8F0669" w14:textId="77777777" w:rsidR="008C2A3F" w:rsidRDefault="0083117A" w:rsidP="0083117A">
            <w:r>
              <w:t>Offer condoms</w:t>
            </w:r>
          </w:p>
          <w:p w14:paraId="12F5B9A6" w14:textId="77777777" w:rsidR="006374D5" w:rsidRPr="006374D5" w:rsidRDefault="006374D5" w:rsidP="0083117A">
            <w:pPr>
              <w:rPr>
                <w:sz w:val="10"/>
                <w:szCs w:val="10"/>
              </w:rPr>
            </w:pPr>
          </w:p>
          <w:p w14:paraId="6862C6C9" w14:textId="77777777" w:rsidR="0089501B" w:rsidRDefault="0089501B" w:rsidP="0083117A">
            <w:r>
              <w:t xml:space="preserve">Advise the women that </w:t>
            </w:r>
            <w:proofErr w:type="spellStart"/>
            <w:r>
              <w:t>depo-provera</w:t>
            </w:r>
            <w:proofErr w:type="spellEnd"/>
            <w:r>
              <w:t xml:space="preserve"> is 97% effective. This can increase to &gt;99% if injections are administered on time.  </w:t>
            </w:r>
          </w:p>
          <w:p w14:paraId="3070EAAE" w14:textId="77777777" w:rsidR="0089501B" w:rsidRPr="0089501B" w:rsidRDefault="0089501B" w:rsidP="0083117A">
            <w:pPr>
              <w:rPr>
                <w:sz w:val="10"/>
                <w:szCs w:val="10"/>
              </w:rPr>
            </w:pPr>
          </w:p>
          <w:p w14:paraId="01840182" w14:textId="47A7B39D" w:rsidR="006374D5" w:rsidRDefault="006374D5" w:rsidP="0083117A">
            <w:r>
              <w:t xml:space="preserve">Advise women that there can be a delay of up to 1 year in the return of fertility after discontinuation. </w:t>
            </w:r>
          </w:p>
        </w:tc>
      </w:tr>
      <w:tr w:rsidR="008C2A3F" w14:paraId="2C1A9CF3" w14:textId="77777777" w:rsidTr="001162FE">
        <w:tc>
          <w:tcPr>
            <w:tcW w:w="2689" w:type="dxa"/>
          </w:tcPr>
          <w:p w14:paraId="1F567DDA" w14:textId="76E7F0FF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Follow-up</w:t>
            </w:r>
          </w:p>
        </w:tc>
        <w:tc>
          <w:tcPr>
            <w:tcW w:w="8073" w:type="dxa"/>
          </w:tcPr>
          <w:p w14:paraId="097B31BA" w14:textId="5DE15658" w:rsidR="00F73244" w:rsidRDefault="00046C9D" w:rsidP="00F73244">
            <w:r>
              <w:t xml:space="preserve">Ensure a recall is in place on computer for </w:t>
            </w:r>
            <w:r w:rsidR="00F73244">
              <w:t xml:space="preserve">the next injection in </w:t>
            </w:r>
            <w:r w:rsidR="00B070B2">
              <w:t>12 weeks.</w:t>
            </w:r>
          </w:p>
          <w:p w14:paraId="0118A6BF" w14:textId="77777777" w:rsidR="006374D5" w:rsidRPr="006374D5" w:rsidRDefault="006374D5" w:rsidP="00F73244">
            <w:pPr>
              <w:rPr>
                <w:sz w:val="10"/>
                <w:szCs w:val="10"/>
              </w:rPr>
            </w:pPr>
          </w:p>
          <w:p w14:paraId="55178DCA" w14:textId="77777777" w:rsidR="006374D5" w:rsidRDefault="006374D5" w:rsidP="00F73244">
            <w:r>
              <w:t>Ensure the women is assessed for ongoing use every 2 years to discuss benefits and risks.</w:t>
            </w:r>
          </w:p>
          <w:p w14:paraId="29C1A50F" w14:textId="77777777" w:rsidR="006374D5" w:rsidRPr="006374D5" w:rsidRDefault="006374D5" w:rsidP="00F73244">
            <w:pPr>
              <w:rPr>
                <w:sz w:val="10"/>
                <w:szCs w:val="10"/>
              </w:rPr>
            </w:pPr>
          </w:p>
          <w:p w14:paraId="3F0E8BEB" w14:textId="07E938C7" w:rsidR="00210EC1" w:rsidRDefault="006374D5" w:rsidP="00994E91">
            <w:r>
              <w:lastRenderedPageBreak/>
              <w:t xml:space="preserve">Ensure at age 50, the women us reviewed to decide if still clinically appropriate. </w:t>
            </w:r>
          </w:p>
        </w:tc>
      </w:tr>
      <w:tr w:rsidR="0070113B" w14:paraId="027D4CD6" w14:textId="77777777" w:rsidTr="001162FE">
        <w:tc>
          <w:tcPr>
            <w:tcW w:w="2689" w:type="dxa"/>
          </w:tcPr>
          <w:p w14:paraId="1403E34E" w14:textId="04E608B8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lastRenderedPageBreak/>
              <w:t>Countersigning and auditing</w:t>
            </w:r>
          </w:p>
        </w:tc>
        <w:tc>
          <w:tcPr>
            <w:tcW w:w="8073" w:type="dxa"/>
          </w:tcPr>
          <w:p w14:paraId="7433F6AF" w14:textId="77777777" w:rsidR="0070113B" w:rsidRDefault="0070113B" w:rsidP="0070113B">
            <w:r>
              <w:t>Countersigning is not required. Audited monthly.</w:t>
            </w:r>
          </w:p>
          <w:p w14:paraId="088B7F21" w14:textId="77777777"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14:paraId="6A98C9A9" w14:textId="77777777"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14:paraId="7C2565C1" w14:textId="77777777" w:rsidTr="001162FE">
        <w:tc>
          <w:tcPr>
            <w:tcW w:w="2689" w:type="dxa"/>
          </w:tcPr>
          <w:p w14:paraId="1BF96B90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14:paraId="4AA0212C" w14:textId="2FB6F44E" w:rsidR="0070113B" w:rsidRDefault="0070113B" w:rsidP="006374D5">
            <w:r>
              <w:t>All nurses working under this standing order must be signed off as c</w:t>
            </w:r>
            <w:r w:rsidR="006374D5">
              <w:t>ompetent to do so by the issuer.</w:t>
            </w:r>
          </w:p>
        </w:tc>
      </w:tr>
      <w:tr w:rsidR="0070113B" w14:paraId="22A1819D" w14:textId="77777777" w:rsidTr="001162FE">
        <w:tc>
          <w:tcPr>
            <w:tcW w:w="2689" w:type="dxa"/>
          </w:tcPr>
          <w:p w14:paraId="41BD95F9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14:paraId="57E045CB" w14:textId="42EC2CE7" w:rsidR="00046C9D" w:rsidRDefault="00046C9D" w:rsidP="00476AA6">
            <w:r>
              <w:t xml:space="preserve">Family Planning at </w:t>
            </w:r>
            <w:hyperlink r:id="rId9" w:history="1">
              <w:r w:rsidRPr="00046C9D">
                <w:rPr>
                  <w:rStyle w:val="Hyperlink"/>
                </w:rPr>
                <w:t>www.familyplanning.org.nz</w:t>
              </w:r>
            </w:hyperlink>
            <w:r w:rsidRPr="00046C9D">
              <w:t xml:space="preserve"> </w:t>
            </w:r>
          </w:p>
          <w:p w14:paraId="506148E9" w14:textId="3930EE9C" w:rsidR="00B46DBE" w:rsidRDefault="00B46DBE" w:rsidP="00476AA6">
            <w:r>
              <w:t xml:space="preserve">Faculty of Sexual and Reproductive Healthcare Clinical Guidance on Progestogen-only injectable contraception. Updated April 2019 at </w:t>
            </w:r>
            <w:hyperlink r:id="rId10" w:history="1">
              <w:r w:rsidRPr="003C6349">
                <w:rPr>
                  <w:rStyle w:val="Hyperlink"/>
                </w:rPr>
                <w:t>https://www.fsrh.org/standards-and-guidance/documents/cec-ceu-guidance-injectables-dec-2014/</w:t>
              </w:r>
            </w:hyperlink>
            <w:r>
              <w:t xml:space="preserve"> </w:t>
            </w:r>
          </w:p>
          <w:p w14:paraId="212F4AD9" w14:textId="77777777"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11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2E57350F" w14:textId="77777777" w:rsidR="00476AA6" w:rsidRDefault="00476AA6" w:rsidP="00476AA6">
            <w:r>
              <w:t xml:space="preserve">Best Practice Journal at </w:t>
            </w:r>
            <w:hyperlink r:id="rId12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629B4C33" w14:textId="77777777" w:rsidR="00476AA6" w:rsidRDefault="00476AA6" w:rsidP="00476AA6">
            <w:r>
              <w:t xml:space="preserve">New Zealand Formulary at </w:t>
            </w:r>
            <w:hyperlink r:id="rId13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14:paraId="7AC732DD" w14:textId="77777777" w:rsidR="00476AA6" w:rsidRDefault="00476AA6" w:rsidP="00476AA6">
            <w:r>
              <w:t xml:space="preserve">Individual medicine data sheets at </w:t>
            </w:r>
            <w:hyperlink r:id="rId14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14:paraId="46F74F88" w14:textId="77777777" w:rsidR="005216BC" w:rsidRDefault="00476AA6" w:rsidP="0070113B">
            <w:r>
              <w:t>Standing Order Guidelines, Ministry of Health, 2012</w:t>
            </w:r>
          </w:p>
          <w:p w14:paraId="18B2E901" w14:textId="77777777" w:rsidR="0068762A" w:rsidRDefault="0068762A" w:rsidP="0070113B">
            <w:r>
              <w:t>Medicines (Standing Order) Regulations 2012 (Standing Order Regulations)</w:t>
            </w:r>
          </w:p>
        </w:tc>
      </w:tr>
      <w:tr w:rsidR="0070113B" w14:paraId="47A9454D" w14:textId="77777777" w:rsidTr="001162FE">
        <w:tc>
          <w:tcPr>
            <w:tcW w:w="2689" w:type="dxa"/>
          </w:tcPr>
          <w:p w14:paraId="28F62AFE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14:paraId="06DC2CA4" w14:textId="77777777" w:rsidR="0070113B" w:rsidRDefault="004A63CB" w:rsidP="0070113B">
            <w:r>
              <w:t>None</w:t>
            </w:r>
          </w:p>
        </w:tc>
      </w:tr>
    </w:tbl>
    <w:p w14:paraId="43D47DE1" w14:textId="77777777" w:rsidR="001162FE" w:rsidRDefault="001162FE"/>
    <w:p w14:paraId="49EDF196" w14:textId="77777777"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1FCD2829" w14:textId="77777777" w:rsidTr="005F243B">
        <w:tc>
          <w:tcPr>
            <w:tcW w:w="2689" w:type="dxa"/>
          </w:tcPr>
          <w:p w14:paraId="4859E0F5" w14:textId="77777777" w:rsidR="008C2A3F" w:rsidRPr="0064385C" w:rsidRDefault="008C2A3F" w:rsidP="005F243B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14:paraId="3B17EC33" w14:textId="77777777" w:rsidR="008C2A3F" w:rsidRDefault="008C2A3F" w:rsidP="005F243B"/>
        </w:tc>
      </w:tr>
    </w:tbl>
    <w:p w14:paraId="1C8A7940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2CD2AE2A" w14:textId="77777777" w:rsidTr="00877CF2">
        <w:tc>
          <w:tcPr>
            <w:tcW w:w="2122" w:type="dxa"/>
          </w:tcPr>
          <w:p w14:paraId="075A4340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14:paraId="297058C7" w14:textId="77777777" w:rsidR="001162FE" w:rsidRDefault="001162FE"/>
    <w:p w14:paraId="560A83C3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6C6DB5E4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23DBA8BF" w14:textId="77777777" w:rsidTr="0064385C">
        <w:trPr>
          <w:trHeight w:val="123"/>
        </w:trPr>
        <w:tc>
          <w:tcPr>
            <w:tcW w:w="4531" w:type="dxa"/>
          </w:tcPr>
          <w:p w14:paraId="47E7D4CD" w14:textId="77777777"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14:paraId="3CE56CEC" w14:textId="77777777" w:rsidR="001162FE" w:rsidRDefault="001162FE"/>
    <w:p w14:paraId="489062CA" w14:textId="77777777"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14:paraId="662ABD0B" w14:textId="77777777" w:rsidR="001162FE" w:rsidRDefault="001162FE">
      <w:r>
        <w:t>We the undersigned agree that we have read, understood and will comply with this standing order and all associated documents.</w:t>
      </w:r>
    </w:p>
    <w:p w14:paraId="10A32AC9" w14:textId="77777777" w:rsidR="001162FE" w:rsidRDefault="001162FE"/>
    <w:p w14:paraId="5EAD280D" w14:textId="77777777" w:rsidR="001162FE" w:rsidRDefault="001162FE">
      <w:r>
        <w:t>Name: ______________________   Signature: __________________________  Date: ______________</w:t>
      </w:r>
    </w:p>
    <w:p w14:paraId="33E65C0E" w14:textId="77777777" w:rsidR="001162FE" w:rsidRDefault="001162FE" w:rsidP="001162FE">
      <w:r>
        <w:t>Name: ______________________   Signature: __________________________  Date: ______________</w:t>
      </w:r>
    </w:p>
    <w:p w14:paraId="27665D0E" w14:textId="77777777" w:rsidR="001162FE" w:rsidRDefault="001162FE" w:rsidP="001162FE">
      <w:r>
        <w:t>Name: ______________________   Signature: __________________________  Date: ______________</w:t>
      </w:r>
    </w:p>
    <w:p w14:paraId="1D0C9F01" w14:textId="77777777" w:rsidR="001162FE" w:rsidRDefault="001162FE">
      <w:r>
        <w:t>Name: ______________________   Signature: __________________________  Date: ______________</w:t>
      </w:r>
    </w:p>
    <w:sectPr w:rsidR="001162FE" w:rsidSect="00D270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A21AC" w14:textId="77777777" w:rsidR="00D131A2" w:rsidRDefault="00D131A2" w:rsidP="00F94BFA">
      <w:pPr>
        <w:spacing w:after="0" w:line="240" w:lineRule="auto"/>
      </w:pPr>
      <w:r>
        <w:separator/>
      </w:r>
    </w:p>
  </w:endnote>
  <w:endnote w:type="continuationSeparator" w:id="0">
    <w:p w14:paraId="442AD9E2" w14:textId="77777777" w:rsidR="00D131A2" w:rsidRDefault="00D131A2" w:rsidP="00F9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31BDE" w14:textId="77777777" w:rsidR="00D131A2" w:rsidRDefault="00D131A2" w:rsidP="00F94BF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DBF0" w14:textId="14DB43F9" w:rsidR="00D131A2" w:rsidRDefault="00D131A2" w:rsidP="00F94BFA">
    <w:pPr>
      <w:pStyle w:val="Footer"/>
    </w:pPr>
    <w:r>
      <w:t>Depo Provera Standing Order</w:t>
    </w:r>
    <w:r>
      <w:tab/>
    </w:r>
    <w:r w:rsidR="00B070B2">
      <w:t xml:space="preserve">September </w:t>
    </w:r>
    <w:bookmarkStart w:id="0" w:name="_GoBack"/>
    <w:bookmarkEnd w:id="0"/>
    <w:r>
      <w:t>2019</w:t>
    </w:r>
    <w:r>
      <w:tab/>
    </w:r>
    <w:proofErr w:type="spellStart"/>
    <w:r>
      <w:t>WellSouth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55FB" w14:textId="77777777" w:rsidR="00B070B2" w:rsidRDefault="00B07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936C5" w14:textId="77777777" w:rsidR="00D131A2" w:rsidRDefault="00D131A2" w:rsidP="00F94BFA">
      <w:pPr>
        <w:spacing w:after="0" w:line="240" w:lineRule="auto"/>
      </w:pPr>
      <w:r>
        <w:separator/>
      </w:r>
    </w:p>
  </w:footnote>
  <w:footnote w:type="continuationSeparator" w:id="0">
    <w:p w14:paraId="3DEF6E83" w14:textId="77777777" w:rsidR="00D131A2" w:rsidRDefault="00D131A2" w:rsidP="00F9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DC336" w14:textId="77777777" w:rsidR="00B070B2" w:rsidRDefault="00B070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410A7" w14:textId="77777777" w:rsidR="00D131A2" w:rsidRDefault="00D131A2" w:rsidP="00F94BFA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E739" w14:textId="77777777" w:rsidR="00B070B2" w:rsidRDefault="00B070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28A4"/>
    <w:multiLevelType w:val="hybridMultilevel"/>
    <w:tmpl w:val="A0CC4A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27B5"/>
    <w:multiLevelType w:val="hybridMultilevel"/>
    <w:tmpl w:val="1F067F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ACB"/>
    <w:multiLevelType w:val="hybridMultilevel"/>
    <w:tmpl w:val="81C4C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450BE5"/>
    <w:multiLevelType w:val="multilevel"/>
    <w:tmpl w:val="F280C392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5079E6"/>
    <w:multiLevelType w:val="hybridMultilevel"/>
    <w:tmpl w:val="A4AA7828"/>
    <w:lvl w:ilvl="0" w:tplc="07D283B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D804B7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014613C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7985E8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133E93A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227C703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6A7A21F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F8D8FEC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D572F35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5" w15:restartNumberingAfterBreak="0">
    <w:nsid w:val="284F09C7"/>
    <w:multiLevelType w:val="hybridMultilevel"/>
    <w:tmpl w:val="AD5C2C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4877"/>
    <w:multiLevelType w:val="multilevel"/>
    <w:tmpl w:val="F280C392"/>
    <w:numStyleLink w:val="Style1"/>
  </w:abstractNum>
  <w:abstractNum w:abstractNumId="7" w15:restartNumberingAfterBreak="0">
    <w:nsid w:val="3BFD08C0"/>
    <w:multiLevelType w:val="hybridMultilevel"/>
    <w:tmpl w:val="AF34F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E0FA9"/>
    <w:multiLevelType w:val="hybridMultilevel"/>
    <w:tmpl w:val="6BDC4A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6B9C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01319"/>
    <w:multiLevelType w:val="hybridMultilevel"/>
    <w:tmpl w:val="CCC2B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14EAE"/>
    <w:multiLevelType w:val="hybridMultilevel"/>
    <w:tmpl w:val="4EB867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EE8"/>
    <w:multiLevelType w:val="hybridMultilevel"/>
    <w:tmpl w:val="D4380F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B2F80"/>
    <w:multiLevelType w:val="hybridMultilevel"/>
    <w:tmpl w:val="FE0E15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61A8"/>
    <w:multiLevelType w:val="hybridMultilevel"/>
    <w:tmpl w:val="49B88C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A392D"/>
    <w:multiLevelType w:val="hybridMultilevel"/>
    <w:tmpl w:val="4DA8B9B8"/>
    <w:lvl w:ilvl="0" w:tplc="22349F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1462C"/>
    <w:multiLevelType w:val="hybridMultilevel"/>
    <w:tmpl w:val="B338EB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E22FB"/>
    <w:multiLevelType w:val="hybridMultilevel"/>
    <w:tmpl w:val="7FA2F690"/>
    <w:lvl w:ilvl="0" w:tplc="CE1A6F0A">
      <w:numFmt w:val="bullet"/>
      <w:lvlText w:val="●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3"/>
  </w:num>
  <w:num w:numId="5">
    <w:abstractNumId w:val="7"/>
  </w:num>
  <w:num w:numId="6">
    <w:abstractNumId w:val="14"/>
  </w:num>
  <w:num w:numId="7">
    <w:abstractNumId w:val="1"/>
  </w:num>
  <w:num w:numId="8">
    <w:abstractNumId w:val="5"/>
  </w:num>
  <w:num w:numId="9">
    <w:abstractNumId w:val="15"/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  <w:num w:numId="14">
    <w:abstractNumId w:val="16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13A69"/>
    <w:rsid w:val="000430CD"/>
    <w:rsid w:val="00046C9D"/>
    <w:rsid w:val="00047658"/>
    <w:rsid w:val="000A1A99"/>
    <w:rsid w:val="000E47A6"/>
    <w:rsid w:val="001162FE"/>
    <w:rsid w:val="00123A68"/>
    <w:rsid w:val="00210EC1"/>
    <w:rsid w:val="00255D59"/>
    <w:rsid w:val="002A4F5D"/>
    <w:rsid w:val="002B08D3"/>
    <w:rsid w:val="002F1DC3"/>
    <w:rsid w:val="00310587"/>
    <w:rsid w:val="003378CB"/>
    <w:rsid w:val="00347FD0"/>
    <w:rsid w:val="003B40EE"/>
    <w:rsid w:val="003D5B36"/>
    <w:rsid w:val="00440938"/>
    <w:rsid w:val="00476AA6"/>
    <w:rsid w:val="004A63CB"/>
    <w:rsid w:val="004C257C"/>
    <w:rsid w:val="004D70C1"/>
    <w:rsid w:val="005216BC"/>
    <w:rsid w:val="005F243B"/>
    <w:rsid w:val="006374D5"/>
    <w:rsid w:val="0064385C"/>
    <w:rsid w:val="0068762A"/>
    <w:rsid w:val="006F67A7"/>
    <w:rsid w:val="0070113B"/>
    <w:rsid w:val="00754599"/>
    <w:rsid w:val="00797951"/>
    <w:rsid w:val="008168D8"/>
    <w:rsid w:val="00825A75"/>
    <w:rsid w:val="0083117A"/>
    <w:rsid w:val="00853012"/>
    <w:rsid w:val="00877CF2"/>
    <w:rsid w:val="0089501B"/>
    <w:rsid w:val="008C2A3F"/>
    <w:rsid w:val="008D2277"/>
    <w:rsid w:val="00904478"/>
    <w:rsid w:val="009255C8"/>
    <w:rsid w:val="009408C8"/>
    <w:rsid w:val="00994E91"/>
    <w:rsid w:val="00A23933"/>
    <w:rsid w:val="00A5313C"/>
    <w:rsid w:val="00AD2885"/>
    <w:rsid w:val="00B070B2"/>
    <w:rsid w:val="00B152F8"/>
    <w:rsid w:val="00B46DBE"/>
    <w:rsid w:val="00C65B63"/>
    <w:rsid w:val="00C708EB"/>
    <w:rsid w:val="00CD470C"/>
    <w:rsid w:val="00D131A2"/>
    <w:rsid w:val="00D270A8"/>
    <w:rsid w:val="00DB7631"/>
    <w:rsid w:val="00E238FF"/>
    <w:rsid w:val="00E64596"/>
    <w:rsid w:val="00EE5238"/>
    <w:rsid w:val="00F73244"/>
    <w:rsid w:val="00F94BFA"/>
    <w:rsid w:val="00F96ECE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728A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3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BFA"/>
  </w:style>
  <w:style w:type="paragraph" w:styleId="Footer">
    <w:name w:val="footer"/>
    <w:basedOn w:val="Normal"/>
    <w:link w:val="FooterChar"/>
    <w:uiPriority w:val="99"/>
    <w:unhideWhenUsed/>
    <w:rsid w:val="00F9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BFA"/>
  </w:style>
  <w:style w:type="character" w:styleId="CommentReference">
    <w:name w:val="annotation reference"/>
    <w:basedOn w:val="DefaultParagraphFont"/>
    <w:uiPriority w:val="99"/>
    <w:semiHidden/>
    <w:unhideWhenUsed/>
    <w:rsid w:val="00B1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2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2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25A75"/>
    <w:pPr>
      <w:spacing w:after="0" w:line="240" w:lineRule="auto"/>
    </w:pPr>
  </w:style>
  <w:style w:type="numbering" w:customStyle="1" w:styleId="Style1">
    <w:name w:val="Style1"/>
    <w:uiPriority w:val="99"/>
    <w:rsid w:val="00FB332B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4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8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8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3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zf.org.n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pac.org.n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lthpathways.org.n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srh.org/standards-and-guidance/documents/cec-ceu-guidance-injectables-dec-2014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familyplanning.org.nz" TargetMode="External"/><Relationship Id="rId14" Type="http://schemas.openxmlformats.org/officeDocument/2006/relationships/hyperlink" Target="http://www.medsafe.govt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6646-A722-4010-A0E9-86E9DD88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620AD05C</Template>
  <TotalTime>62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9</cp:revision>
  <dcterms:created xsi:type="dcterms:W3CDTF">2019-08-01T01:43:00Z</dcterms:created>
  <dcterms:modified xsi:type="dcterms:W3CDTF">2019-09-05T01:55:00Z</dcterms:modified>
</cp:coreProperties>
</file>