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012" w:rsidRPr="001162FE" w:rsidRDefault="00123A68" w:rsidP="001162FE">
      <w:pPr>
        <w:jc w:val="center"/>
        <w:rPr>
          <w:b/>
          <w:sz w:val="28"/>
          <w:szCs w:val="28"/>
        </w:rPr>
      </w:pPr>
      <w:r w:rsidRPr="00123A68">
        <w:rPr>
          <w:noProof/>
          <w:lang w:eastAsia="en-NZ"/>
        </w:rPr>
        <w:drawing>
          <wp:inline distT="0" distB="0" distL="0" distR="0" wp14:anchorId="7ED633EB" wp14:editId="7A92C0F8">
            <wp:extent cx="1866900" cy="622184"/>
            <wp:effectExtent l="0" t="0" r="0" b="6985"/>
            <wp:docPr id="2" name="Picture 2" descr="L:\WellSouth Stationery\Logos\Colour\WS_logo_horizontal\Wellsouth_horizontal_hig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ellSouth Stationery\Logos\Colour\WS_logo_horizontal\Wellsouth_horizontal_high.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9400" cy="643013"/>
                    </a:xfrm>
                    <a:prstGeom prst="rect">
                      <a:avLst/>
                    </a:prstGeom>
                    <a:noFill/>
                    <a:ln>
                      <a:noFill/>
                    </a:ln>
                  </pic:spPr>
                </pic:pic>
              </a:graphicData>
            </a:graphic>
          </wp:inline>
        </w:drawing>
      </w:r>
      <w:r>
        <w:rPr>
          <w:b/>
          <w:sz w:val="28"/>
          <w:szCs w:val="28"/>
        </w:rPr>
        <w:t xml:space="preserve">         </w:t>
      </w:r>
      <w:r w:rsidR="004173E6">
        <w:rPr>
          <w:b/>
          <w:sz w:val="28"/>
          <w:szCs w:val="28"/>
        </w:rPr>
        <w:t>Diarrhoea</w:t>
      </w:r>
      <w:r w:rsidR="001162FE" w:rsidRPr="001162FE">
        <w:rPr>
          <w:b/>
          <w:sz w:val="28"/>
          <w:szCs w:val="28"/>
        </w:rPr>
        <w:t xml:space="preserve"> Standing Order</w:t>
      </w:r>
      <w:r w:rsidRPr="00123A68">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tbl>
      <w:tblPr>
        <w:tblStyle w:val="TableGrid"/>
        <w:tblW w:w="0" w:type="auto"/>
        <w:jc w:val="center"/>
        <w:tblLook w:val="04A0" w:firstRow="1" w:lastRow="0" w:firstColumn="1" w:lastColumn="0" w:noHBand="0" w:noVBand="1"/>
      </w:tblPr>
      <w:tblGrid>
        <w:gridCol w:w="1555"/>
        <w:gridCol w:w="1984"/>
        <w:gridCol w:w="1843"/>
        <w:gridCol w:w="2268"/>
      </w:tblGrid>
      <w:tr w:rsidR="001162FE" w:rsidTr="00877CF2">
        <w:trPr>
          <w:jc w:val="center"/>
        </w:trPr>
        <w:tc>
          <w:tcPr>
            <w:tcW w:w="1555" w:type="dxa"/>
          </w:tcPr>
          <w:p w:rsidR="001162FE" w:rsidRDefault="001162FE">
            <w:r>
              <w:t>Issue date:</w:t>
            </w:r>
          </w:p>
        </w:tc>
        <w:tc>
          <w:tcPr>
            <w:tcW w:w="1984" w:type="dxa"/>
          </w:tcPr>
          <w:p w:rsidR="001162FE" w:rsidRDefault="001162FE"/>
        </w:tc>
        <w:tc>
          <w:tcPr>
            <w:tcW w:w="1843" w:type="dxa"/>
          </w:tcPr>
          <w:p w:rsidR="001162FE" w:rsidRDefault="001162FE">
            <w:r>
              <w:t>Review date:</w:t>
            </w:r>
          </w:p>
        </w:tc>
        <w:tc>
          <w:tcPr>
            <w:tcW w:w="2268" w:type="dxa"/>
          </w:tcPr>
          <w:p w:rsidR="001162FE" w:rsidRDefault="001162FE"/>
        </w:tc>
      </w:tr>
    </w:tbl>
    <w:p w:rsidR="001162FE" w:rsidRDefault="001162FE"/>
    <w:p w:rsidR="001162FE" w:rsidRDefault="001162FE">
      <w:r>
        <w:t>This standing order is not valid after the review date.</w:t>
      </w:r>
      <w:r w:rsidR="00877CF2">
        <w:t xml:space="preserve"> The review date is one year after the date the order was signed by the issuer.</w:t>
      </w:r>
    </w:p>
    <w:tbl>
      <w:tblPr>
        <w:tblStyle w:val="TableGrid"/>
        <w:tblW w:w="0" w:type="auto"/>
        <w:tblLook w:val="04A0" w:firstRow="1" w:lastRow="0" w:firstColumn="1" w:lastColumn="0" w:noHBand="0" w:noVBand="1"/>
      </w:tblPr>
      <w:tblGrid>
        <w:gridCol w:w="2689"/>
        <w:gridCol w:w="8073"/>
      </w:tblGrid>
      <w:tr w:rsidR="001162FE" w:rsidTr="001162FE">
        <w:tc>
          <w:tcPr>
            <w:tcW w:w="2689" w:type="dxa"/>
          </w:tcPr>
          <w:p w:rsidR="001162FE" w:rsidRPr="0064385C" w:rsidRDefault="00877CF2">
            <w:pPr>
              <w:rPr>
                <w:b/>
              </w:rPr>
            </w:pPr>
            <w:r w:rsidRPr="0064385C">
              <w:rPr>
                <w:b/>
              </w:rPr>
              <w:t>Standing Order Name</w:t>
            </w:r>
          </w:p>
        </w:tc>
        <w:tc>
          <w:tcPr>
            <w:tcW w:w="8073" w:type="dxa"/>
          </w:tcPr>
          <w:p w:rsidR="001162FE" w:rsidRDefault="004173E6">
            <w:r>
              <w:t>Diarrhoea</w:t>
            </w:r>
          </w:p>
        </w:tc>
      </w:tr>
      <w:tr w:rsidR="001162FE" w:rsidTr="001162FE">
        <w:tc>
          <w:tcPr>
            <w:tcW w:w="2689" w:type="dxa"/>
          </w:tcPr>
          <w:p w:rsidR="001162FE" w:rsidRPr="0064385C" w:rsidRDefault="00877CF2">
            <w:pPr>
              <w:rPr>
                <w:b/>
              </w:rPr>
            </w:pPr>
            <w:r w:rsidRPr="0064385C">
              <w:rPr>
                <w:b/>
              </w:rPr>
              <w:t>Rationale</w:t>
            </w:r>
          </w:p>
        </w:tc>
        <w:tc>
          <w:tcPr>
            <w:tcW w:w="8073" w:type="dxa"/>
          </w:tcPr>
          <w:p w:rsidR="001162FE" w:rsidRDefault="004173E6">
            <w:r>
              <w:t>To promptly and appropriately treat patients presenting with acute onset diarrhoea</w:t>
            </w:r>
          </w:p>
        </w:tc>
      </w:tr>
      <w:tr w:rsidR="001162FE" w:rsidTr="001162FE">
        <w:tc>
          <w:tcPr>
            <w:tcW w:w="2689" w:type="dxa"/>
          </w:tcPr>
          <w:p w:rsidR="00877CF2" w:rsidRPr="0064385C" w:rsidRDefault="008C2A3F">
            <w:pPr>
              <w:rPr>
                <w:b/>
              </w:rPr>
            </w:pPr>
            <w:r w:rsidRPr="0064385C">
              <w:rPr>
                <w:b/>
              </w:rPr>
              <w:t>Scope (condition and patient group)</w:t>
            </w:r>
          </w:p>
        </w:tc>
        <w:tc>
          <w:tcPr>
            <w:tcW w:w="8073" w:type="dxa"/>
          </w:tcPr>
          <w:p w:rsidR="001162FE" w:rsidRDefault="004173E6">
            <w:r>
              <w:t>Any patient assessed as suffering from acute onset diarrhoea</w:t>
            </w:r>
            <w:r w:rsidR="00BB0E69">
              <w:t>.</w:t>
            </w:r>
          </w:p>
        </w:tc>
      </w:tr>
      <w:tr w:rsidR="000E47A6" w:rsidTr="001162FE">
        <w:tc>
          <w:tcPr>
            <w:tcW w:w="2689" w:type="dxa"/>
          </w:tcPr>
          <w:p w:rsidR="000E47A6" w:rsidRPr="0064385C" w:rsidRDefault="000E47A6">
            <w:pPr>
              <w:rPr>
                <w:b/>
              </w:rPr>
            </w:pPr>
            <w:r>
              <w:rPr>
                <w:b/>
              </w:rPr>
              <w:t>Red Flags</w:t>
            </w:r>
          </w:p>
        </w:tc>
        <w:tc>
          <w:tcPr>
            <w:tcW w:w="8073" w:type="dxa"/>
          </w:tcPr>
          <w:p w:rsidR="000E47A6" w:rsidRDefault="00C370C9">
            <w:r w:rsidRPr="00C370C9">
              <w:t xml:space="preserve">In people with diarrhoea containing blood or mucus </w:t>
            </w:r>
            <w:proofErr w:type="spellStart"/>
            <w:r w:rsidRPr="00C370C9">
              <w:t>antidiarrhoeal</w:t>
            </w:r>
            <w:proofErr w:type="spellEnd"/>
            <w:r w:rsidRPr="00C370C9">
              <w:t xml:space="preserve"> medicines increase the risk of toxic </w:t>
            </w:r>
            <w:proofErr w:type="spellStart"/>
            <w:r w:rsidRPr="00C370C9">
              <w:t>megacolon</w:t>
            </w:r>
            <w:proofErr w:type="spellEnd"/>
            <w:r w:rsidRPr="00C370C9">
              <w:t xml:space="preserve"> and prolong duration of diarrhoea</w:t>
            </w:r>
            <w:r>
              <w:t>.</w:t>
            </w:r>
          </w:p>
        </w:tc>
      </w:tr>
      <w:tr w:rsidR="001162FE" w:rsidTr="001162FE">
        <w:tc>
          <w:tcPr>
            <w:tcW w:w="2689" w:type="dxa"/>
          </w:tcPr>
          <w:p w:rsidR="001162FE" w:rsidRPr="0064385C" w:rsidRDefault="008C2A3F">
            <w:pPr>
              <w:rPr>
                <w:b/>
              </w:rPr>
            </w:pPr>
            <w:r w:rsidRPr="0064385C">
              <w:rPr>
                <w:b/>
              </w:rPr>
              <w:t>Assessment</w:t>
            </w:r>
          </w:p>
        </w:tc>
        <w:tc>
          <w:tcPr>
            <w:tcW w:w="8073" w:type="dxa"/>
          </w:tcPr>
          <w:p w:rsidR="001162FE" w:rsidRDefault="001D1532">
            <w:r>
              <w:t xml:space="preserve">1. </w:t>
            </w:r>
            <w:r w:rsidRPr="001D1532">
              <w:t>The examination should focus on identifying dehydration. Th</w:t>
            </w:r>
            <w:r w:rsidR="00533AE5">
              <w:t xml:space="preserve">is includes basic observations </w:t>
            </w:r>
            <w:r w:rsidRPr="001D1532">
              <w:t xml:space="preserve">with attention to skin turgor, mucus membranes and capillary refill rate, </w:t>
            </w:r>
            <w:r w:rsidR="00533AE5" w:rsidRPr="008D0117">
              <w:t>the absence of tears, low urine output</w:t>
            </w:r>
            <w:r w:rsidR="00533AE5">
              <w:t xml:space="preserve"> </w:t>
            </w:r>
            <w:r w:rsidRPr="001D1532">
              <w:t>and an abdominal examination.</w:t>
            </w:r>
          </w:p>
          <w:p w:rsidR="001D1532" w:rsidRPr="001D1532" w:rsidRDefault="001D1532">
            <w:pPr>
              <w:rPr>
                <w:sz w:val="12"/>
                <w:szCs w:val="12"/>
              </w:rPr>
            </w:pPr>
          </w:p>
          <w:p w:rsidR="001D1532" w:rsidRDefault="001D1532" w:rsidP="001D1532">
            <w:r>
              <w:t>2. Laboratory investigation is</w:t>
            </w:r>
            <w:r w:rsidRPr="00982C13">
              <w:rPr>
                <w:b/>
              </w:rPr>
              <w:t xml:space="preserve"> not</w:t>
            </w:r>
            <w:r>
              <w:t xml:space="preserve"> routinely required for patients with acute diarrhoea. </w:t>
            </w:r>
          </w:p>
          <w:p w:rsidR="001D1532" w:rsidRDefault="001D1532" w:rsidP="001D1532">
            <w:r>
              <w:t>However, in a patient with a rural occupation, residence or recent exposure to animals, laboratory investigation is recommended to provide additional information to guide treatment and for notification purposes.</w:t>
            </w:r>
          </w:p>
          <w:p w:rsidR="000F1491" w:rsidRDefault="00982C13" w:rsidP="001D1532">
            <w:r>
              <w:t>Request the following tests if indicated</w:t>
            </w:r>
            <w:r w:rsidR="000F1491">
              <w:t>:</w:t>
            </w:r>
          </w:p>
          <w:p w:rsidR="000F1491" w:rsidRDefault="000F1491" w:rsidP="000F1491">
            <w:pPr>
              <w:pStyle w:val="ListParagraph"/>
              <w:numPr>
                <w:ilvl w:val="0"/>
                <w:numId w:val="2"/>
              </w:numPr>
            </w:pPr>
            <w:r>
              <w:t>Faecal culture and microscopy</w:t>
            </w:r>
          </w:p>
          <w:p w:rsidR="000F1491" w:rsidRDefault="000F1491" w:rsidP="000F1491">
            <w:pPr>
              <w:pStyle w:val="ListParagraph"/>
              <w:numPr>
                <w:ilvl w:val="0"/>
                <w:numId w:val="2"/>
              </w:numPr>
            </w:pPr>
            <w:r>
              <w:t>Faecal Giardia and Cryptosporidium antigen tests</w:t>
            </w:r>
          </w:p>
          <w:p w:rsidR="000F1491" w:rsidRDefault="000F1491" w:rsidP="001D1532"/>
          <w:p w:rsidR="000F1491" w:rsidRDefault="000F1491" w:rsidP="00982C13">
            <w:r>
              <w:t xml:space="preserve">3. </w:t>
            </w:r>
            <w:r w:rsidRPr="000F1491">
              <w:t>The focus of management is preventing or treati</w:t>
            </w:r>
            <w:r w:rsidR="00533AE5">
              <w:t xml:space="preserve">ng dehydration and electrolyte disturbance </w:t>
            </w:r>
            <w:r w:rsidRPr="000F1491">
              <w:t>and reassuring the patient that diarrhoeal illnesses are usually self-limiting.</w:t>
            </w:r>
          </w:p>
        </w:tc>
      </w:tr>
      <w:tr w:rsidR="00533AE5" w:rsidTr="001162FE">
        <w:tc>
          <w:tcPr>
            <w:tcW w:w="2689" w:type="dxa"/>
          </w:tcPr>
          <w:p w:rsidR="00533AE5" w:rsidRDefault="00533AE5">
            <w:pPr>
              <w:rPr>
                <w:b/>
              </w:rPr>
            </w:pPr>
          </w:p>
        </w:tc>
        <w:tc>
          <w:tcPr>
            <w:tcW w:w="8073" w:type="dxa"/>
          </w:tcPr>
          <w:p w:rsidR="00533AE5" w:rsidRDefault="00533AE5"/>
        </w:tc>
      </w:tr>
      <w:tr w:rsidR="001162FE" w:rsidTr="001162FE">
        <w:tc>
          <w:tcPr>
            <w:tcW w:w="2689" w:type="dxa"/>
          </w:tcPr>
          <w:p w:rsidR="001162FE" w:rsidRPr="0064385C" w:rsidRDefault="0064385C">
            <w:pPr>
              <w:rPr>
                <w:b/>
              </w:rPr>
            </w:pPr>
            <w:r>
              <w:rPr>
                <w:b/>
              </w:rPr>
              <w:t>Indication</w:t>
            </w:r>
          </w:p>
        </w:tc>
        <w:tc>
          <w:tcPr>
            <w:tcW w:w="8073" w:type="dxa"/>
          </w:tcPr>
          <w:p w:rsidR="001162FE" w:rsidRPr="005459A8" w:rsidRDefault="005459A8">
            <w:pPr>
              <w:rPr>
                <w:b/>
              </w:rPr>
            </w:pPr>
            <w:r w:rsidRPr="005459A8">
              <w:rPr>
                <w:b/>
              </w:rPr>
              <w:t>To treat acute diarrhoea with an anti-motility agent</w:t>
            </w:r>
          </w:p>
        </w:tc>
      </w:tr>
      <w:tr w:rsidR="001162FE" w:rsidTr="001162FE">
        <w:tc>
          <w:tcPr>
            <w:tcW w:w="2689" w:type="dxa"/>
          </w:tcPr>
          <w:p w:rsidR="001162FE" w:rsidRPr="0064385C" w:rsidRDefault="00877CF2">
            <w:pPr>
              <w:rPr>
                <w:b/>
              </w:rPr>
            </w:pPr>
            <w:r w:rsidRPr="0064385C">
              <w:rPr>
                <w:b/>
              </w:rPr>
              <w:t>Medicine</w:t>
            </w:r>
          </w:p>
        </w:tc>
        <w:tc>
          <w:tcPr>
            <w:tcW w:w="8073" w:type="dxa"/>
          </w:tcPr>
          <w:p w:rsidR="001162FE" w:rsidRDefault="005459A8">
            <w:proofErr w:type="spellStart"/>
            <w:r w:rsidRPr="008F6FAE">
              <w:rPr>
                <w:b/>
              </w:rPr>
              <w:t>Loperamide</w:t>
            </w:r>
            <w:proofErr w:type="spellEnd"/>
            <w:r>
              <w:t xml:space="preserve"> 2mg </w:t>
            </w:r>
          </w:p>
        </w:tc>
      </w:tr>
      <w:tr w:rsidR="001162FE" w:rsidTr="001162FE">
        <w:tc>
          <w:tcPr>
            <w:tcW w:w="2689" w:type="dxa"/>
          </w:tcPr>
          <w:p w:rsidR="00877CF2" w:rsidRPr="0064385C" w:rsidRDefault="00877CF2">
            <w:pPr>
              <w:rPr>
                <w:b/>
              </w:rPr>
            </w:pPr>
            <w:r w:rsidRPr="0064385C">
              <w:rPr>
                <w:b/>
              </w:rPr>
              <w:t>Dosage instructions</w:t>
            </w:r>
          </w:p>
        </w:tc>
        <w:tc>
          <w:tcPr>
            <w:tcW w:w="8073" w:type="dxa"/>
          </w:tcPr>
          <w:p w:rsidR="001162FE" w:rsidRDefault="005459A8">
            <w:r w:rsidRPr="00DE7446">
              <w:rPr>
                <w:u w:val="single"/>
              </w:rPr>
              <w:t>Adult</w:t>
            </w:r>
            <w:r>
              <w:t>:</w:t>
            </w:r>
            <w:r w:rsidRPr="005459A8">
              <w:t xml:space="preserve"> initially 4 mg followed by 2 mg after each loose stool; maximum 16 mg daily</w:t>
            </w:r>
          </w:p>
          <w:p w:rsidR="005459A8" w:rsidRDefault="005459A8">
            <w:r w:rsidRPr="00DE7446">
              <w:rPr>
                <w:u w:val="single"/>
              </w:rPr>
              <w:t>Child</w:t>
            </w:r>
            <w:r>
              <w:t xml:space="preserve"> 12–18 years: </w:t>
            </w:r>
            <w:r w:rsidRPr="005459A8">
              <w:t>initially 4 mg, then 2 mg after each loose stool for up to 5 days (usual dose 6–8 mg daily; maximum 16 mg daily)</w:t>
            </w:r>
          </w:p>
        </w:tc>
      </w:tr>
      <w:tr w:rsidR="001162FE" w:rsidTr="001162FE">
        <w:tc>
          <w:tcPr>
            <w:tcW w:w="2689" w:type="dxa"/>
          </w:tcPr>
          <w:p w:rsidR="001162FE" w:rsidRPr="0064385C" w:rsidRDefault="00877CF2">
            <w:pPr>
              <w:rPr>
                <w:b/>
              </w:rPr>
            </w:pPr>
            <w:r w:rsidRPr="0064385C">
              <w:rPr>
                <w:b/>
              </w:rPr>
              <w:t>Route of administration</w:t>
            </w:r>
          </w:p>
        </w:tc>
        <w:tc>
          <w:tcPr>
            <w:tcW w:w="8073" w:type="dxa"/>
          </w:tcPr>
          <w:p w:rsidR="001162FE" w:rsidRDefault="005459A8">
            <w:r>
              <w:t>Oral</w:t>
            </w:r>
          </w:p>
        </w:tc>
      </w:tr>
      <w:tr w:rsidR="001162FE" w:rsidTr="001162FE">
        <w:tc>
          <w:tcPr>
            <w:tcW w:w="2689" w:type="dxa"/>
          </w:tcPr>
          <w:p w:rsidR="001162FE" w:rsidRPr="0064385C" w:rsidRDefault="0064385C" w:rsidP="0064385C">
            <w:pPr>
              <w:rPr>
                <w:b/>
              </w:rPr>
            </w:pPr>
            <w:r>
              <w:rPr>
                <w:b/>
              </w:rPr>
              <w:t>Quantity to be given</w:t>
            </w:r>
          </w:p>
        </w:tc>
        <w:tc>
          <w:tcPr>
            <w:tcW w:w="8073" w:type="dxa"/>
          </w:tcPr>
          <w:p w:rsidR="001162FE" w:rsidRDefault="005459A8">
            <w:r>
              <w:t>5 days</w:t>
            </w:r>
          </w:p>
        </w:tc>
      </w:tr>
      <w:tr w:rsidR="001162FE" w:rsidTr="001162FE">
        <w:tc>
          <w:tcPr>
            <w:tcW w:w="2689" w:type="dxa"/>
          </w:tcPr>
          <w:p w:rsidR="001162FE" w:rsidRPr="0064385C" w:rsidRDefault="00877CF2">
            <w:pPr>
              <w:rPr>
                <w:b/>
              </w:rPr>
            </w:pPr>
            <w:r w:rsidRPr="0064385C">
              <w:rPr>
                <w:b/>
              </w:rPr>
              <w:t>Contraindications</w:t>
            </w:r>
          </w:p>
        </w:tc>
        <w:tc>
          <w:tcPr>
            <w:tcW w:w="8073" w:type="dxa"/>
          </w:tcPr>
          <w:p w:rsidR="005459A8" w:rsidRDefault="005459A8">
            <w:r>
              <w:t>C</w:t>
            </w:r>
            <w:r w:rsidRPr="005459A8">
              <w:t>onditions where inhibition o</w:t>
            </w:r>
            <w:r>
              <w:t>f peristalsis should be avoided</w:t>
            </w:r>
          </w:p>
          <w:p w:rsidR="005459A8" w:rsidRDefault="005459A8" w:rsidP="005459A8">
            <w:r>
              <w:t>W</w:t>
            </w:r>
            <w:r w:rsidRPr="005459A8">
              <w:t>he</w:t>
            </w:r>
            <w:r>
              <w:t>n</w:t>
            </w:r>
            <w:r w:rsidRPr="005459A8">
              <w:t xml:space="preserve"> ab</w:t>
            </w:r>
            <w:r>
              <w:t xml:space="preserve">dominal distension develops </w:t>
            </w:r>
          </w:p>
          <w:p w:rsidR="001162FE" w:rsidRDefault="005459A8" w:rsidP="005459A8">
            <w:r>
              <w:t>I</w:t>
            </w:r>
            <w:r w:rsidRPr="005459A8">
              <w:t>n conditions such as active ulcerative colitis or antibiotic-associated colitis</w:t>
            </w:r>
          </w:p>
        </w:tc>
      </w:tr>
      <w:tr w:rsidR="001162FE" w:rsidTr="001162FE">
        <w:tc>
          <w:tcPr>
            <w:tcW w:w="2689" w:type="dxa"/>
          </w:tcPr>
          <w:p w:rsidR="001162FE" w:rsidRPr="0064385C" w:rsidRDefault="00877CF2">
            <w:pPr>
              <w:rPr>
                <w:b/>
              </w:rPr>
            </w:pPr>
            <w:r w:rsidRPr="0064385C">
              <w:rPr>
                <w:b/>
              </w:rPr>
              <w:t>Precautions</w:t>
            </w:r>
          </w:p>
        </w:tc>
        <w:tc>
          <w:tcPr>
            <w:tcW w:w="8073" w:type="dxa"/>
          </w:tcPr>
          <w:p w:rsidR="005459A8" w:rsidRDefault="005459A8" w:rsidP="005459A8">
            <w:pPr>
              <w:pStyle w:val="ListParagraph"/>
              <w:numPr>
                <w:ilvl w:val="0"/>
                <w:numId w:val="1"/>
              </w:numPr>
            </w:pPr>
            <w:r>
              <w:t>E</w:t>
            </w:r>
            <w:r w:rsidRPr="005459A8">
              <w:t>nsure appropriate use of fl</w:t>
            </w:r>
            <w:r>
              <w:t>uid and electrolyte replacement</w:t>
            </w:r>
          </w:p>
          <w:p w:rsidR="001162FE" w:rsidRDefault="005459A8" w:rsidP="005459A8">
            <w:pPr>
              <w:pStyle w:val="ListParagraph"/>
              <w:numPr>
                <w:ilvl w:val="0"/>
                <w:numId w:val="1"/>
              </w:numPr>
            </w:pPr>
            <w:r>
              <w:t>I</w:t>
            </w:r>
            <w:r w:rsidRPr="005459A8">
              <w:t>n acute diarrhoea only use for short-term symptomatic management</w:t>
            </w:r>
          </w:p>
        </w:tc>
      </w:tr>
      <w:tr w:rsidR="004173E6" w:rsidRPr="004173E6" w:rsidTr="001162FE">
        <w:tc>
          <w:tcPr>
            <w:tcW w:w="2689" w:type="dxa"/>
          </w:tcPr>
          <w:p w:rsidR="004173E6" w:rsidRPr="004173E6" w:rsidRDefault="004173E6">
            <w:pPr>
              <w:rPr>
                <w:b/>
                <w:sz w:val="12"/>
                <w:szCs w:val="12"/>
              </w:rPr>
            </w:pPr>
          </w:p>
        </w:tc>
        <w:tc>
          <w:tcPr>
            <w:tcW w:w="8073" w:type="dxa"/>
          </w:tcPr>
          <w:p w:rsidR="004173E6" w:rsidRPr="004173E6" w:rsidRDefault="004173E6">
            <w:pPr>
              <w:rPr>
                <w:sz w:val="12"/>
                <w:szCs w:val="12"/>
              </w:rPr>
            </w:pPr>
          </w:p>
        </w:tc>
      </w:tr>
      <w:tr w:rsidR="004173E6" w:rsidTr="005459A8">
        <w:tc>
          <w:tcPr>
            <w:tcW w:w="2689" w:type="dxa"/>
          </w:tcPr>
          <w:p w:rsidR="004173E6" w:rsidRPr="0064385C" w:rsidRDefault="004173E6" w:rsidP="005459A8">
            <w:pPr>
              <w:rPr>
                <w:b/>
              </w:rPr>
            </w:pPr>
            <w:r>
              <w:rPr>
                <w:b/>
              </w:rPr>
              <w:t>Indication</w:t>
            </w:r>
          </w:p>
        </w:tc>
        <w:tc>
          <w:tcPr>
            <w:tcW w:w="8073" w:type="dxa"/>
          </w:tcPr>
          <w:p w:rsidR="004173E6" w:rsidRPr="006027E6" w:rsidRDefault="005459A8" w:rsidP="00A36360">
            <w:pPr>
              <w:rPr>
                <w:b/>
              </w:rPr>
            </w:pPr>
            <w:r w:rsidRPr="006027E6">
              <w:rPr>
                <w:b/>
              </w:rPr>
              <w:t>To treat</w:t>
            </w:r>
            <w:r w:rsidR="006027E6" w:rsidRPr="006027E6">
              <w:rPr>
                <w:b/>
              </w:rPr>
              <w:t xml:space="preserve"> fluid and electrolyte </w:t>
            </w:r>
            <w:r w:rsidR="00A36360">
              <w:rPr>
                <w:b/>
              </w:rPr>
              <w:t>loss</w:t>
            </w:r>
            <w:r w:rsidR="006027E6" w:rsidRPr="006027E6">
              <w:rPr>
                <w:b/>
              </w:rPr>
              <w:t xml:space="preserve"> due to diarrhoea </w:t>
            </w:r>
          </w:p>
        </w:tc>
      </w:tr>
      <w:tr w:rsidR="004173E6" w:rsidTr="005459A8">
        <w:tc>
          <w:tcPr>
            <w:tcW w:w="2689" w:type="dxa"/>
          </w:tcPr>
          <w:p w:rsidR="004173E6" w:rsidRPr="0064385C" w:rsidRDefault="004173E6" w:rsidP="005459A8">
            <w:pPr>
              <w:rPr>
                <w:b/>
              </w:rPr>
            </w:pPr>
            <w:r w:rsidRPr="0064385C">
              <w:rPr>
                <w:b/>
              </w:rPr>
              <w:t>Medicine</w:t>
            </w:r>
          </w:p>
        </w:tc>
        <w:tc>
          <w:tcPr>
            <w:tcW w:w="8073" w:type="dxa"/>
          </w:tcPr>
          <w:p w:rsidR="004173E6" w:rsidRDefault="00A36360" w:rsidP="005459A8">
            <w:proofErr w:type="spellStart"/>
            <w:r w:rsidRPr="008F6FAE">
              <w:rPr>
                <w:b/>
              </w:rPr>
              <w:t>Enerlyte</w:t>
            </w:r>
            <w:proofErr w:type="spellEnd"/>
            <w:r>
              <w:t xml:space="preserve"> sachets OR </w:t>
            </w:r>
            <w:proofErr w:type="spellStart"/>
            <w:r w:rsidRPr="008F6FAE">
              <w:rPr>
                <w:b/>
              </w:rPr>
              <w:t>Pedialyte</w:t>
            </w:r>
            <w:proofErr w:type="spellEnd"/>
            <w:r>
              <w:t xml:space="preserve"> solution</w:t>
            </w:r>
          </w:p>
        </w:tc>
      </w:tr>
      <w:tr w:rsidR="004173E6" w:rsidTr="005459A8">
        <w:tc>
          <w:tcPr>
            <w:tcW w:w="2689" w:type="dxa"/>
          </w:tcPr>
          <w:p w:rsidR="004173E6" w:rsidRPr="0064385C" w:rsidRDefault="004173E6" w:rsidP="005459A8">
            <w:pPr>
              <w:rPr>
                <w:b/>
              </w:rPr>
            </w:pPr>
            <w:r w:rsidRPr="0064385C">
              <w:rPr>
                <w:b/>
              </w:rPr>
              <w:t>Dosage instructions</w:t>
            </w:r>
          </w:p>
        </w:tc>
        <w:tc>
          <w:tcPr>
            <w:tcW w:w="8073" w:type="dxa"/>
          </w:tcPr>
          <w:p w:rsidR="004173E6" w:rsidRDefault="00A36360" w:rsidP="005459A8">
            <w:r w:rsidRPr="007811A2">
              <w:rPr>
                <w:u w:val="single"/>
              </w:rPr>
              <w:t xml:space="preserve">Adult </w:t>
            </w:r>
            <w:r>
              <w:t xml:space="preserve"> and </w:t>
            </w:r>
            <w:r w:rsidRPr="007811A2">
              <w:rPr>
                <w:u w:val="single"/>
              </w:rPr>
              <w:t>child &gt;12 years</w:t>
            </w:r>
            <w:r>
              <w:t xml:space="preserve">: </w:t>
            </w:r>
            <w:r w:rsidRPr="00A36360">
              <w:t>According to fluid loss, usually 200–400 mL solution after every loose motion</w:t>
            </w:r>
          </w:p>
          <w:p w:rsidR="00A36360" w:rsidRDefault="00A36360" w:rsidP="005459A8">
            <w:r w:rsidRPr="007811A2">
              <w:rPr>
                <w:u w:val="single"/>
              </w:rPr>
              <w:t>Child 1–12 years</w:t>
            </w:r>
            <w:r>
              <w:t xml:space="preserve">: </w:t>
            </w:r>
            <w:r w:rsidRPr="00A36360">
              <w:t xml:space="preserve"> 200 mL after every loose motion</w:t>
            </w:r>
          </w:p>
          <w:p w:rsidR="00A36360" w:rsidRDefault="00A36360" w:rsidP="005459A8">
            <w:r w:rsidRPr="007811A2">
              <w:rPr>
                <w:u w:val="single"/>
              </w:rPr>
              <w:t>Child 1 month–1 year</w:t>
            </w:r>
            <w:r>
              <w:t xml:space="preserve">: </w:t>
            </w:r>
            <w:r w:rsidRPr="00A36360">
              <w:t xml:space="preserve"> 1–1½ times usual feed volume</w:t>
            </w:r>
            <w:bookmarkStart w:id="0" w:name="_GoBack"/>
            <w:bookmarkEnd w:id="0"/>
          </w:p>
        </w:tc>
      </w:tr>
      <w:tr w:rsidR="004173E6" w:rsidTr="005459A8">
        <w:tc>
          <w:tcPr>
            <w:tcW w:w="2689" w:type="dxa"/>
          </w:tcPr>
          <w:p w:rsidR="004173E6" w:rsidRPr="0064385C" w:rsidRDefault="004173E6" w:rsidP="005459A8">
            <w:pPr>
              <w:rPr>
                <w:b/>
              </w:rPr>
            </w:pPr>
            <w:r w:rsidRPr="0064385C">
              <w:rPr>
                <w:b/>
              </w:rPr>
              <w:t>Route of administration</w:t>
            </w:r>
          </w:p>
        </w:tc>
        <w:tc>
          <w:tcPr>
            <w:tcW w:w="8073" w:type="dxa"/>
          </w:tcPr>
          <w:p w:rsidR="004173E6" w:rsidRDefault="00A36360" w:rsidP="005459A8">
            <w:r>
              <w:t>Oral</w:t>
            </w:r>
          </w:p>
        </w:tc>
      </w:tr>
      <w:tr w:rsidR="004173E6" w:rsidTr="005459A8">
        <w:tc>
          <w:tcPr>
            <w:tcW w:w="2689" w:type="dxa"/>
          </w:tcPr>
          <w:p w:rsidR="004173E6" w:rsidRPr="0064385C" w:rsidRDefault="004173E6" w:rsidP="005459A8">
            <w:pPr>
              <w:rPr>
                <w:b/>
              </w:rPr>
            </w:pPr>
            <w:r>
              <w:rPr>
                <w:b/>
              </w:rPr>
              <w:t>Quantity to be given</w:t>
            </w:r>
          </w:p>
        </w:tc>
        <w:tc>
          <w:tcPr>
            <w:tcW w:w="8073" w:type="dxa"/>
          </w:tcPr>
          <w:p w:rsidR="004173E6" w:rsidRDefault="00A36360" w:rsidP="005459A8">
            <w:r>
              <w:t>1 x original pack</w:t>
            </w:r>
          </w:p>
        </w:tc>
      </w:tr>
      <w:tr w:rsidR="004173E6" w:rsidTr="005459A8">
        <w:tc>
          <w:tcPr>
            <w:tcW w:w="2689" w:type="dxa"/>
          </w:tcPr>
          <w:p w:rsidR="004173E6" w:rsidRPr="0064385C" w:rsidRDefault="004173E6" w:rsidP="005459A8">
            <w:pPr>
              <w:rPr>
                <w:b/>
              </w:rPr>
            </w:pPr>
            <w:r w:rsidRPr="0064385C">
              <w:rPr>
                <w:b/>
              </w:rPr>
              <w:t>Contraindications</w:t>
            </w:r>
          </w:p>
        </w:tc>
        <w:tc>
          <w:tcPr>
            <w:tcW w:w="8073" w:type="dxa"/>
          </w:tcPr>
          <w:p w:rsidR="004173E6" w:rsidRDefault="00A36360" w:rsidP="005459A8">
            <w:r>
              <w:t>None</w:t>
            </w:r>
          </w:p>
        </w:tc>
      </w:tr>
      <w:tr w:rsidR="004173E6" w:rsidTr="005459A8">
        <w:tc>
          <w:tcPr>
            <w:tcW w:w="2689" w:type="dxa"/>
          </w:tcPr>
          <w:p w:rsidR="004173E6" w:rsidRPr="0064385C" w:rsidRDefault="004173E6" w:rsidP="005459A8">
            <w:pPr>
              <w:rPr>
                <w:b/>
              </w:rPr>
            </w:pPr>
            <w:r w:rsidRPr="0064385C">
              <w:rPr>
                <w:b/>
              </w:rPr>
              <w:lastRenderedPageBreak/>
              <w:t>Precautions</w:t>
            </w:r>
          </w:p>
        </w:tc>
        <w:tc>
          <w:tcPr>
            <w:tcW w:w="8073" w:type="dxa"/>
          </w:tcPr>
          <w:p w:rsidR="004173E6" w:rsidRDefault="00A36360" w:rsidP="005459A8">
            <w:r w:rsidRPr="00A36360">
              <w:t xml:space="preserve">After reconstitution of </w:t>
            </w:r>
            <w:proofErr w:type="spellStart"/>
            <w:r w:rsidRPr="00A36360">
              <w:t>Pedialyte</w:t>
            </w:r>
            <w:proofErr w:type="spellEnd"/>
            <w:r w:rsidRPr="00A36360">
              <w:t xml:space="preserve"> any unused solution should be discarded no later than 1 hour after preparation unless stored in a refrigerator when it may be kept for up to 24 hours.</w:t>
            </w:r>
          </w:p>
        </w:tc>
      </w:tr>
      <w:tr w:rsidR="004173E6" w:rsidRPr="004173E6" w:rsidTr="005459A8">
        <w:tc>
          <w:tcPr>
            <w:tcW w:w="2689" w:type="dxa"/>
          </w:tcPr>
          <w:p w:rsidR="004173E6" w:rsidRPr="004173E6" w:rsidRDefault="004173E6" w:rsidP="005459A8">
            <w:pPr>
              <w:rPr>
                <w:b/>
                <w:sz w:val="12"/>
                <w:szCs w:val="12"/>
              </w:rPr>
            </w:pPr>
          </w:p>
        </w:tc>
        <w:tc>
          <w:tcPr>
            <w:tcW w:w="8073" w:type="dxa"/>
          </w:tcPr>
          <w:p w:rsidR="004173E6" w:rsidRPr="004173E6" w:rsidRDefault="004173E6" w:rsidP="005459A8">
            <w:pPr>
              <w:rPr>
                <w:sz w:val="12"/>
                <w:szCs w:val="12"/>
              </w:rPr>
            </w:pPr>
          </w:p>
        </w:tc>
      </w:tr>
      <w:tr w:rsidR="008C2A3F" w:rsidTr="001162FE">
        <w:tc>
          <w:tcPr>
            <w:tcW w:w="2689" w:type="dxa"/>
          </w:tcPr>
          <w:p w:rsidR="008C2A3F" w:rsidRPr="0064385C" w:rsidRDefault="008C2A3F" w:rsidP="008C2A3F">
            <w:pPr>
              <w:rPr>
                <w:b/>
              </w:rPr>
            </w:pPr>
            <w:r w:rsidRPr="0064385C">
              <w:rPr>
                <w:b/>
              </w:rPr>
              <w:t>Additional information</w:t>
            </w:r>
          </w:p>
        </w:tc>
        <w:tc>
          <w:tcPr>
            <w:tcW w:w="8073" w:type="dxa"/>
          </w:tcPr>
          <w:p w:rsidR="005459A8" w:rsidRDefault="005459A8" w:rsidP="008C2A3F">
            <w:proofErr w:type="spellStart"/>
            <w:r w:rsidRPr="005459A8">
              <w:t>Antimotility</w:t>
            </w:r>
            <w:proofErr w:type="spellEnd"/>
            <w:r w:rsidRPr="005459A8">
              <w:t xml:space="preserve"> drugs prolong the duration of intestinal transit by binding to opioid receptors in the gastro-intestinal tract.</w:t>
            </w:r>
            <w:r>
              <w:t xml:space="preserve"> </w:t>
            </w:r>
            <w:proofErr w:type="spellStart"/>
            <w:r w:rsidRPr="005459A8">
              <w:t>Loperamide</w:t>
            </w:r>
            <w:proofErr w:type="spellEnd"/>
            <w:r w:rsidRPr="005459A8">
              <w:t xml:space="preserve"> does not cross the blood-brain barrier readily. </w:t>
            </w:r>
          </w:p>
          <w:p w:rsidR="005459A8" w:rsidRPr="005459A8" w:rsidRDefault="005459A8" w:rsidP="008C2A3F">
            <w:pPr>
              <w:rPr>
                <w:sz w:val="12"/>
                <w:szCs w:val="12"/>
              </w:rPr>
            </w:pPr>
          </w:p>
          <w:p w:rsidR="008C2A3F" w:rsidRDefault="005459A8" w:rsidP="008C2A3F">
            <w:proofErr w:type="spellStart"/>
            <w:r w:rsidRPr="005459A8">
              <w:t>Antimotility</w:t>
            </w:r>
            <w:proofErr w:type="spellEnd"/>
            <w:r w:rsidRPr="005459A8">
              <w:t xml:space="preserve"> drugs have a role in the management of uncomplicated acute diarrhoea in adults but not in children under 12 years</w:t>
            </w:r>
            <w:r>
              <w:t>.</w:t>
            </w:r>
          </w:p>
          <w:p w:rsidR="005459A8" w:rsidRPr="005459A8" w:rsidRDefault="005459A8" w:rsidP="008C2A3F">
            <w:pPr>
              <w:rPr>
                <w:sz w:val="12"/>
                <w:szCs w:val="12"/>
              </w:rPr>
            </w:pPr>
          </w:p>
          <w:p w:rsidR="005459A8" w:rsidRDefault="005459A8" w:rsidP="008C2A3F">
            <w:r>
              <w:t>I</w:t>
            </w:r>
            <w:r w:rsidRPr="005459A8">
              <w:t>n the case of dehydration, fluid and electroly</w:t>
            </w:r>
            <w:r>
              <w:t>te replacement</w:t>
            </w:r>
            <w:r w:rsidRPr="005459A8">
              <w:t xml:space="preserve"> are of primary importance.</w:t>
            </w:r>
          </w:p>
          <w:p w:rsidR="00A36360" w:rsidRPr="00A36360" w:rsidRDefault="00A36360" w:rsidP="008C2A3F">
            <w:pPr>
              <w:rPr>
                <w:sz w:val="12"/>
                <w:szCs w:val="12"/>
              </w:rPr>
            </w:pPr>
          </w:p>
          <w:p w:rsidR="00A36360" w:rsidRDefault="00A36360" w:rsidP="008C2A3F">
            <w:r>
              <w:t>I</w:t>
            </w:r>
            <w:r w:rsidRPr="00A36360">
              <w:t>n infants, breast-feeding or formula feeds should be offered between oral rehydration drinks.</w:t>
            </w:r>
          </w:p>
          <w:p w:rsidR="00982C13" w:rsidRPr="00982C13" w:rsidRDefault="00982C13" w:rsidP="008C2A3F">
            <w:pPr>
              <w:rPr>
                <w:sz w:val="12"/>
                <w:szCs w:val="12"/>
              </w:rPr>
            </w:pPr>
          </w:p>
          <w:p w:rsidR="00982C13" w:rsidRDefault="00982C13" w:rsidP="008C2A3F">
            <w:r w:rsidRPr="00982C13">
              <w:t xml:space="preserve">Drinking undiluted fruit juices or carbonated </w:t>
            </w:r>
            <w:r>
              <w:t>drinks should be discouraged,</w:t>
            </w:r>
            <w:r w:rsidRPr="00982C13">
              <w:t xml:space="preserve"> as they contain high levels of sugar, and can increase dehydration through diuretic action and by altering the osmolality of the gut.</w:t>
            </w:r>
          </w:p>
          <w:p w:rsidR="00C370C9" w:rsidRPr="00C370C9" w:rsidRDefault="00C370C9" w:rsidP="008C2A3F">
            <w:pPr>
              <w:rPr>
                <w:sz w:val="12"/>
                <w:szCs w:val="12"/>
              </w:rPr>
            </w:pPr>
          </w:p>
          <w:p w:rsidR="00C370C9" w:rsidRDefault="00C370C9" w:rsidP="008C2A3F">
            <w:r w:rsidRPr="00C370C9">
              <w:t xml:space="preserve">If pain relief is required, </w:t>
            </w:r>
            <w:proofErr w:type="spellStart"/>
            <w:r w:rsidRPr="00C370C9">
              <w:t>paracetamol</w:t>
            </w:r>
            <w:proofErr w:type="spellEnd"/>
            <w:r w:rsidRPr="00C370C9">
              <w:t xml:space="preserve"> can be given. NSAIDs should be avoided in people with dehydration or the potential for dehydration due to the risk of kidney injury.</w:t>
            </w:r>
          </w:p>
          <w:p w:rsidR="0054419D" w:rsidRPr="0054419D" w:rsidRDefault="0054419D" w:rsidP="008C2A3F">
            <w:pPr>
              <w:rPr>
                <w:sz w:val="12"/>
                <w:szCs w:val="12"/>
              </w:rPr>
            </w:pPr>
          </w:p>
          <w:p w:rsidR="0054419D" w:rsidRDefault="0054419D" w:rsidP="008C2A3F">
            <w:r w:rsidRPr="0054419D">
              <w:t>The patient’s current medicine use should also be reviewed, as certain medicines may worsen diarrhoea (e.g. laxatives), increase the risk of complications from the diarrhoea (e.g. diuretics, NSAIDs) or can be affected by diarrhoeal symptoms (e.g. reduced absorption of oral contraceptives).</w:t>
            </w:r>
          </w:p>
        </w:tc>
      </w:tr>
      <w:tr w:rsidR="008C2A3F" w:rsidTr="001162FE">
        <w:tc>
          <w:tcPr>
            <w:tcW w:w="2689" w:type="dxa"/>
          </w:tcPr>
          <w:p w:rsidR="008C2A3F" w:rsidRPr="0064385C" w:rsidRDefault="008C2A3F" w:rsidP="008C2A3F">
            <w:pPr>
              <w:rPr>
                <w:b/>
              </w:rPr>
            </w:pPr>
            <w:r w:rsidRPr="0064385C">
              <w:rPr>
                <w:b/>
              </w:rPr>
              <w:t>Follow-up</w:t>
            </w:r>
          </w:p>
        </w:tc>
        <w:tc>
          <w:tcPr>
            <w:tcW w:w="8073" w:type="dxa"/>
          </w:tcPr>
          <w:p w:rsidR="008C2A3F" w:rsidRDefault="00A36360" w:rsidP="008C2A3F">
            <w:r>
              <w:t>Follow-up</w:t>
            </w:r>
            <w:r w:rsidRPr="00A36360">
              <w:t xml:space="preserve"> should be considered</w:t>
            </w:r>
            <w:r>
              <w:t xml:space="preserve"> promptly</w:t>
            </w:r>
            <w:r w:rsidRPr="00A36360">
              <w:t xml:space="preserve"> for older patients who are unable to manage at home by themselves or younger children whose condition may deteriorate rapidly.</w:t>
            </w:r>
          </w:p>
        </w:tc>
      </w:tr>
      <w:tr w:rsidR="0070113B" w:rsidTr="001162FE">
        <w:tc>
          <w:tcPr>
            <w:tcW w:w="2689" w:type="dxa"/>
          </w:tcPr>
          <w:p w:rsidR="0070113B" w:rsidRPr="0064385C" w:rsidRDefault="0070113B" w:rsidP="0070113B">
            <w:pPr>
              <w:rPr>
                <w:b/>
              </w:rPr>
            </w:pPr>
            <w:r w:rsidRPr="0064385C">
              <w:rPr>
                <w:b/>
              </w:rPr>
              <w:t>Countersigning and auditing</w:t>
            </w:r>
          </w:p>
        </w:tc>
        <w:tc>
          <w:tcPr>
            <w:tcW w:w="8073" w:type="dxa"/>
          </w:tcPr>
          <w:p w:rsidR="0070113B" w:rsidRDefault="0070113B" w:rsidP="0070113B">
            <w:r>
              <w:t>Countersigning is not required. Audited monthly.</w:t>
            </w:r>
          </w:p>
          <w:p w:rsidR="0070113B" w:rsidRPr="0070113B" w:rsidRDefault="0070113B" w:rsidP="0070113B">
            <w:pPr>
              <w:rPr>
                <w:b/>
              </w:rPr>
            </w:pPr>
            <w:r w:rsidRPr="0070113B">
              <w:rPr>
                <w:b/>
              </w:rPr>
              <w:t xml:space="preserve">OR </w:t>
            </w:r>
          </w:p>
          <w:p w:rsidR="0070113B" w:rsidRDefault="0070113B" w:rsidP="0070113B">
            <w:r>
              <w:t xml:space="preserve">Countersigning is required within </w:t>
            </w:r>
            <w:r w:rsidRPr="00070579">
              <w:rPr>
                <w:b/>
                <w:i/>
              </w:rPr>
              <w:t>XX</w:t>
            </w:r>
            <w:r>
              <w:t xml:space="preserve"> days</w:t>
            </w:r>
          </w:p>
        </w:tc>
      </w:tr>
      <w:tr w:rsidR="0070113B" w:rsidTr="001162FE">
        <w:tc>
          <w:tcPr>
            <w:tcW w:w="2689" w:type="dxa"/>
          </w:tcPr>
          <w:p w:rsidR="0070113B" w:rsidRPr="0064385C" w:rsidRDefault="0070113B" w:rsidP="0070113B">
            <w:pPr>
              <w:rPr>
                <w:b/>
              </w:rPr>
            </w:pPr>
            <w:r w:rsidRPr="0064385C">
              <w:rPr>
                <w:b/>
              </w:rPr>
              <w:t>Competency/training requirements</w:t>
            </w:r>
          </w:p>
        </w:tc>
        <w:tc>
          <w:tcPr>
            <w:tcW w:w="8073" w:type="dxa"/>
          </w:tcPr>
          <w:p w:rsidR="0070113B" w:rsidRDefault="0070113B" w:rsidP="0070113B">
            <w:r>
              <w:t>All nurses working under this standing order must be signed off as competent to do so by the issuer and have had specific training in this standing order.</w:t>
            </w:r>
          </w:p>
        </w:tc>
      </w:tr>
      <w:tr w:rsidR="0070113B" w:rsidTr="001162FE">
        <w:tc>
          <w:tcPr>
            <w:tcW w:w="2689" w:type="dxa"/>
          </w:tcPr>
          <w:p w:rsidR="0070113B" w:rsidRPr="0064385C" w:rsidRDefault="0070113B" w:rsidP="0070113B">
            <w:pPr>
              <w:rPr>
                <w:b/>
              </w:rPr>
            </w:pPr>
            <w:r w:rsidRPr="0064385C">
              <w:rPr>
                <w:b/>
              </w:rPr>
              <w:t>Supporting documentation</w:t>
            </w:r>
          </w:p>
        </w:tc>
        <w:tc>
          <w:tcPr>
            <w:tcW w:w="8073" w:type="dxa"/>
          </w:tcPr>
          <w:p w:rsidR="00476AA6" w:rsidRDefault="00476AA6" w:rsidP="00476AA6">
            <w:proofErr w:type="spellStart"/>
            <w:r>
              <w:t>Healthpathways</w:t>
            </w:r>
            <w:proofErr w:type="spellEnd"/>
            <w:r>
              <w:t xml:space="preserve"> at </w:t>
            </w:r>
            <w:hyperlink r:id="rId9" w:history="1">
              <w:r w:rsidRPr="00254A91">
                <w:rPr>
                  <w:rStyle w:val="Hyperlink"/>
                </w:rPr>
                <w:t>www.healthpathways.org.nz</w:t>
              </w:r>
            </w:hyperlink>
            <w:r>
              <w:t xml:space="preserve"> </w:t>
            </w:r>
          </w:p>
          <w:p w:rsidR="00476AA6" w:rsidRDefault="00476AA6" w:rsidP="00476AA6">
            <w:r>
              <w:t xml:space="preserve">Best Practice Journal at </w:t>
            </w:r>
            <w:hyperlink r:id="rId10" w:history="1">
              <w:r w:rsidRPr="00254A91">
                <w:rPr>
                  <w:rStyle w:val="Hyperlink"/>
                </w:rPr>
                <w:t>www.bpac.org.nz</w:t>
              </w:r>
            </w:hyperlink>
            <w:r>
              <w:t xml:space="preserve"> </w:t>
            </w:r>
          </w:p>
          <w:p w:rsidR="00476AA6" w:rsidRDefault="00476AA6" w:rsidP="00476AA6">
            <w:r>
              <w:t xml:space="preserve">New Zealand Formulary at </w:t>
            </w:r>
            <w:hyperlink r:id="rId11" w:history="1">
              <w:r w:rsidRPr="00254A91">
                <w:rPr>
                  <w:rStyle w:val="Hyperlink"/>
                </w:rPr>
                <w:t>www.nzf.org.nz</w:t>
              </w:r>
            </w:hyperlink>
            <w:r>
              <w:t xml:space="preserve"> </w:t>
            </w:r>
          </w:p>
          <w:p w:rsidR="00476AA6" w:rsidRDefault="00476AA6" w:rsidP="00476AA6">
            <w:r>
              <w:t xml:space="preserve">Individual medicine data sheets at </w:t>
            </w:r>
            <w:hyperlink r:id="rId12" w:history="1">
              <w:r w:rsidRPr="00254A91">
                <w:rPr>
                  <w:rStyle w:val="Hyperlink"/>
                </w:rPr>
                <w:t>www.medsafe.govt.nz</w:t>
              </w:r>
            </w:hyperlink>
            <w:r>
              <w:t xml:space="preserve"> </w:t>
            </w:r>
          </w:p>
          <w:p w:rsidR="005216BC" w:rsidRDefault="00476AA6" w:rsidP="0070113B">
            <w:r>
              <w:t>Standing Order Guidelines, Ministry of Health, 2012</w:t>
            </w:r>
          </w:p>
          <w:p w:rsidR="009A1C18" w:rsidRDefault="009A1C18" w:rsidP="0070113B">
            <w:r>
              <w:t>Medicines (Standing Order) Regulations 2012 (Standing Order Regulations)</w:t>
            </w:r>
          </w:p>
        </w:tc>
      </w:tr>
      <w:tr w:rsidR="0070113B" w:rsidTr="001162FE">
        <w:tc>
          <w:tcPr>
            <w:tcW w:w="2689" w:type="dxa"/>
          </w:tcPr>
          <w:p w:rsidR="0070113B" w:rsidRPr="0064385C" w:rsidRDefault="0070113B" w:rsidP="0070113B">
            <w:pPr>
              <w:rPr>
                <w:b/>
              </w:rPr>
            </w:pPr>
            <w:r w:rsidRPr="0064385C">
              <w:rPr>
                <w:b/>
              </w:rPr>
              <w:t>Definition of terms used in standing order</w:t>
            </w:r>
          </w:p>
        </w:tc>
        <w:tc>
          <w:tcPr>
            <w:tcW w:w="8073" w:type="dxa"/>
          </w:tcPr>
          <w:p w:rsidR="0070113B" w:rsidRDefault="00982C13" w:rsidP="0070113B">
            <w:r>
              <w:t>None</w:t>
            </w:r>
          </w:p>
        </w:tc>
      </w:tr>
    </w:tbl>
    <w:p w:rsidR="001162FE" w:rsidRDefault="001162FE"/>
    <w:p w:rsidR="008C2A3F" w:rsidRDefault="008C2A3F"/>
    <w:p w:rsidR="00BB0E69" w:rsidRDefault="00BB0E69"/>
    <w:p w:rsidR="00BB0E69" w:rsidRDefault="00BB0E69"/>
    <w:p w:rsidR="00BB0E69" w:rsidRDefault="00BB0E69"/>
    <w:p w:rsidR="00BB0E69" w:rsidRDefault="00BB0E69"/>
    <w:p w:rsidR="00BB0E69" w:rsidRDefault="00BB0E69"/>
    <w:p w:rsidR="00BB0E69" w:rsidRDefault="00BB0E69"/>
    <w:p w:rsidR="00BB0E69" w:rsidRDefault="00BB0E69"/>
    <w:p w:rsidR="00BB0E69" w:rsidRDefault="00BB0E69"/>
    <w:p w:rsidR="00BB0E69" w:rsidRDefault="00BB0E69"/>
    <w:p w:rsidR="00BB0E69" w:rsidRDefault="00BB0E69"/>
    <w:tbl>
      <w:tblPr>
        <w:tblStyle w:val="TableGrid"/>
        <w:tblW w:w="0" w:type="auto"/>
        <w:tblLook w:val="04A0" w:firstRow="1" w:lastRow="0" w:firstColumn="1" w:lastColumn="0" w:noHBand="0" w:noVBand="1"/>
      </w:tblPr>
      <w:tblGrid>
        <w:gridCol w:w="2689"/>
        <w:gridCol w:w="8073"/>
      </w:tblGrid>
      <w:tr w:rsidR="008C2A3F" w:rsidTr="005459A8">
        <w:tc>
          <w:tcPr>
            <w:tcW w:w="2689" w:type="dxa"/>
          </w:tcPr>
          <w:p w:rsidR="008C2A3F" w:rsidRPr="0064385C" w:rsidRDefault="008C2A3F" w:rsidP="005459A8">
            <w:pPr>
              <w:rPr>
                <w:b/>
              </w:rPr>
            </w:pPr>
            <w:r w:rsidRPr="0064385C">
              <w:rPr>
                <w:b/>
              </w:rPr>
              <w:t>Medical Centre or Clinic</w:t>
            </w:r>
            <w:r w:rsidR="0064385C" w:rsidRPr="0064385C">
              <w:rPr>
                <w:b/>
              </w:rPr>
              <w:t>:</w:t>
            </w:r>
          </w:p>
        </w:tc>
        <w:tc>
          <w:tcPr>
            <w:tcW w:w="8073" w:type="dxa"/>
          </w:tcPr>
          <w:p w:rsidR="008C2A3F" w:rsidRDefault="008C2A3F" w:rsidP="005459A8"/>
        </w:tc>
      </w:tr>
    </w:tbl>
    <w:p w:rsidR="001162FE" w:rsidRDefault="001162FE"/>
    <w:tbl>
      <w:tblPr>
        <w:tblStyle w:val="TableGrid"/>
        <w:tblW w:w="0" w:type="auto"/>
        <w:tblLook w:val="04A0" w:firstRow="1" w:lastRow="0" w:firstColumn="1" w:lastColumn="0" w:noHBand="0" w:noVBand="1"/>
      </w:tblPr>
      <w:tblGrid>
        <w:gridCol w:w="2122"/>
      </w:tblGrid>
      <w:tr w:rsidR="001162FE" w:rsidTr="00877CF2">
        <w:tc>
          <w:tcPr>
            <w:tcW w:w="2122" w:type="dxa"/>
          </w:tcPr>
          <w:p w:rsidR="001162FE" w:rsidRPr="0064385C" w:rsidRDefault="00877CF2">
            <w:pPr>
              <w:rPr>
                <w:b/>
              </w:rPr>
            </w:pPr>
            <w:r w:rsidRPr="0064385C">
              <w:rPr>
                <w:b/>
              </w:rPr>
              <w:t>Signed by issuers</w:t>
            </w:r>
          </w:p>
        </w:tc>
      </w:tr>
    </w:tbl>
    <w:p w:rsidR="001162FE" w:rsidRDefault="001162FE"/>
    <w:p w:rsidR="001162FE" w:rsidRDefault="001162FE">
      <w:r>
        <w:t>Name:</w:t>
      </w:r>
      <w:r>
        <w:tab/>
        <w:t>____________________________</w:t>
      </w:r>
      <w:r>
        <w:tab/>
      </w:r>
      <w:r>
        <w:tab/>
        <w:t>Signature: __________________________</w:t>
      </w:r>
    </w:p>
    <w:p w:rsidR="001162FE" w:rsidRDefault="001162FE">
      <w:r>
        <w:t>Title:</w:t>
      </w:r>
      <w:r>
        <w:tab/>
        <w:t>____________________________</w:t>
      </w:r>
      <w:r>
        <w:tab/>
      </w:r>
      <w:r>
        <w:tab/>
        <w:t>Date: _________________</w:t>
      </w:r>
    </w:p>
    <w:tbl>
      <w:tblPr>
        <w:tblStyle w:val="TableGrid"/>
        <w:tblW w:w="0" w:type="auto"/>
        <w:tblLook w:val="04A0" w:firstRow="1" w:lastRow="0" w:firstColumn="1" w:lastColumn="0" w:noHBand="0" w:noVBand="1"/>
      </w:tblPr>
      <w:tblGrid>
        <w:gridCol w:w="4531"/>
      </w:tblGrid>
      <w:tr w:rsidR="001162FE" w:rsidTr="0064385C">
        <w:trPr>
          <w:trHeight w:val="123"/>
        </w:trPr>
        <w:tc>
          <w:tcPr>
            <w:tcW w:w="4531" w:type="dxa"/>
          </w:tcPr>
          <w:p w:rsidR="001162FE" w:rsidRPr="0064385C" w:rsidRDefault="001162FE">
            <w:pPr>
              <w:rPr>
                <w:b/>
              </w:rPr>
            </w:pPr>
            <w:r w:rsidRPr="0064385C">
              <w:rPr>
                <w:b/>
              </w:rPr>
              <w:t>Nurses operating under this standing order</w:t>
            </w:r>
          </w:p>
        </w:tc>
      </w:tr>
    </w:tbl>
    <w:p w:rsidR="001162FE" w:rsidRDefault="001162FE"/>
    <w:p w:rsidR="0064385C" w:rsidRDefault="0064385C" w:rsidP="0064385C">
      <w:r>
        <w:t xml:space="preserve">Only Registered nurses working within the above medical centre or clinic are authorised to administer medication under this standing order. </w:t>
      </w:r>
    </w:p>
    <w:p w:rsidR="001162FE" w:rsidRDefault="001162FE">
      <w:r>
        <w:t>We the undersigned agree that we have read, understood and will comply with this standing order and all associated documents.</w:t>
      </w:r>
    </w:p>
    <w:p w:rsidR="001162FE" w:rsidRDefault="001162FE"/>
    <w:p w:rsidR="001162FE" w:rsidRDefault="001162FE">
      <w:r>
        <w:t>Name: ______________________   Signature: _________________________</w:t>
      </w:r>
      <w:proofErr w:type="gramStart"/>
      <w:r>
        <w:t>_  Date</w:t>
      </w:r>
      <w:proofErr w:type="gramEnd"/>
      <w:r>
        <w:t>: ______________</w:t>
      </w:r>
    </w:p>
    <w:p w:rsidR="001162FE" w:rsidRDefault="001162FE" w:rsidP="001162FE">
      <w:r>
        <w:t>Name: ______________________   Signature: _________________________</w:t>
      </w:r>
      <w:proofErr w:type="gramStart"/>
      <w:r>
        <w:t>_  Date</w:t>
      </w:r>
      <w:proofErr w:type="gramEnd"/>
      <w:r>
        <w:t>: ______________</w:t>
      </w:r>
    </w:p>
    <w:p w:rsidR="001162FE" w:rsidRDefault="001162FE" w:rsidP="001162FE">
      <w:r>
        <w:t>Name: ______________________   Signature: _________________________</w:t>
      </w:r>
      <w:proofErr w:type="gramStart"/>
      <w:r>
        <w:t>_  Date</w:t>
      </w:r>
      <w:proofErr w:type="gramEnd"/>
      <w:r>
        <w:t>: ______________</w:t>
      </w:r>
    </w:p>
    <w:p w:rsidR="001162FE" w:rsidRDefault="001162FE" w:rsidP="001162FE">
      <w:r>
        <w:t>Name: ______________________   Signature: _________________________</w:t>
      </w:r>
      <w:proofErr w:type="gramStart"/>
      <w:r>
        <w:t>_  Date</w:t>
      </w:r>
      <w:proofErr w:type="gramEnd"/>
      <w:r>
        <w:t>: ______________</w:t>
      </w:r>
    </w:p>
    <w:p w:rsidR="001162FE" w:rsidRDefault="001162FE"/>
    <w:sectPr w:rsidR="001162FE" w:rsidSect="00D270A8">
      <w:headerReference w:type="even" r:id="rId13"/>
      <w:headerReference w:type="default" r:id="rId14"/>
      <w:footerReference w:type="even" r:id="rId15"/>
      <w:footerReference w:type="default" r:id="rId16"/>
      <w:headerReference w:type="first" r:id="rId17"/>
      <w:footerReference w:type="first" r:id="rId18"/>
      <w:pgSz w:w="11906" w:h="16838"/>
      <w:pgMar w:top="851" w:right="567" w:bottom="851"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3AE5" w:rsidRDefault="00533AE5" w:rsidP="00190F2A">
      <w:pPr>
        <w:spacing w:after="0" w:line="240" w:lineRule="auto"/>
      </w:pPr>
      <w:r>
        <w:separator/>
      </w:r>
    </w:p>
  </w:endnote>
  <w:endnote w:type="continuationSeparator" w:id="0">
    <w:p w:rsidR="00533AE5" w:rsidRDefault="00533AE5" w:rsidP="00190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AE5" w:rsidRDefault="00533A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AE5" w:rsidRDefault="00533AE5">
    <w:pPr>
      <w:pStyle w:val="Footer"/>
    </w:pPr>
    <w:r>
      <w:t>Diarrhoea Standing Order</w:t>
    </w:r>
    <w:r>
      <w:tab/>
      <w:t>October 2015</w:t>
    </w:r>
    <w:r>
      <w:tab/>
      <w:t>WellSouth</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AE5" w:rsidRDefault="00533A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3AE5" w:rsidRDefault="00533AE5" w:rsidP="00190F2A">
      <w:pPr>
        <w:spacing w:after="0" w:line="240" w:lineRule="auto"/>
      </w:pPr>
      <w:r>
        <w:separator/>
      </w:r>
    </w:p>
  </w:footnote>
  <w:footnote w:type="continuationSeparator" w:id="0">
    <w:p w:rsidR="00533AE5" w:rsidRDefault="00533AE5" w:rsidP="00190F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AE5" w:rsidRDefault="00533A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AE5" w:rsidRDefault="00533AE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AE5" w:rsidRDefault="00533A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775ED9"/>
    <w:multiLevelType w:val="hybridMultilevel"/>
    <w:tmpl w:val="D4647D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7F065059"/>
    <w:multiLevelType w:val="hybridMultilevel"/>
    <w:tmpl w:val="512458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0A8"/>
    <w:rsid w:val="000E47A6"/>
    <w:rsid w:val="000F1491"/>
    <w:rsid w:val="001162FE"/>
    <w:rsid w:val="00123A68"/>
    <w:rsid w:val="00190F2A"/>
    <w:rsid w:val="001D1532"/>
    <w:rsid w:val="002A4F5D"/>
    <w:rsid w:val="004173E6"/>
    <w:rsid w:val="00476AA6"/>
    <w:rsid w:val="005216BC"/>
    <w:rsid w:val="00533AE5"/>
    <w:rsid w:val="0054419D"/>
    <w:rsid w:val="005459A8"/>
    <w:rsid w:val="006027E6"/>
    <w:rsid w:val="0064385C"/>
    <w:rsid w:val="0070113B"/>
    <w:rsid w:val="00741933"/>
    <w:rsid w:val="007811A2"/>
    <w:rsid w:val="00853012"/>
    <w:rsid w:val="00877CF2"/>
    <w:rsid w:val="008C2A3F"/>
    <w:rsid w:val="008D0117"/>
    <w:rsid w:val="008F6FAE"/>
    <w:rsid w:val="00982C13"/>
    <w:rsid w:val="009A1C18"/>
    <w:rsid w:val="00A36360"/>
    <w:rsid w:val="00BB0E69"/>
    <w:rsid w:val="00C370C9"/>
    <w:rsid w:val="00D270A8"/>
    <w:rsid w:val="00DE744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E9DDCF-23F5-477A-8B59-51F0AA92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62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6AA6"/>
    <w:rPr>
      <w:color w:val="0563C1" w:themeColor="hyperlink"/>
      <w:u w:val="single"/>
    </w:rPr>
  </w:style>
  <w:style w:type="paragraph" w:styleId="Header">
    <w:name w:val="header"/>
    <w:basedOn w:val="Normal"/>
    <w:link w:val="HeaderChar"/>
    <w:uiPriority w:val="99"/>
    <w:unhideWhenUsed/>
    <w:rsid w:val="00190F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0F2A"/>
  </w:style>
  <w:style w:type="paragraph" w:styleId="Footer">
    <w:name w:val="footer"/>
    <w:basedOn w:val="Normal"/>
    <w:link w:val="FooterChar"/>
    <w:uiPriority w:val="99"/>
    <w:unhideWhenUsed/>
    <w:rsid w:val="00190F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0F2A"/>
  </w:style>
  <w:style w:type="paragraph" w:styleId="ListParagraph">
    <w:name w:val="List Paragraph"/>
    <w:basedOn w:val="Normal"/>
    <w:uiPriority w:val="34"/>
    <w:qFormat/>
    <w:rsid w:val="005459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edsafe.govt.n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zf.org.n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pac.org.n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ealthpathways.org.nz"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F8CE3-EC89-49D0-BC67-566F09393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BD80CCDD</Template>
  <TotalTime>74</TotalTime>
  <Pages>3</Pages>
  <Words>882</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Southern PHO</Company>
  <LinksUpToDate>false</LinksUpToDate>
  <CharactersWithSpaces>5905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Leach</dc:creator>
  <cp:keywords/>
  <dc:description/>
  <cp:lastModifiedBy>Nick Leach</cp:lastModifiedBy>
  <cp:revision>17</cp:revision>
  <dcterms:created xsi:type="dcterms:W3CDTF">2015-08-20T07:52:00Z</dcterms:created>
  <dcterms:modified xsi:type="dcterms:W3CDTF">2015-12-08T22:27:00Z</dcterms:modified>
</cp:coreProperties>
</file>