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3EE6" w14:textId="347E588F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083CB6B1" wp14:editId="1C39692A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921088">
        <w:rPr>
          <w:b/>
          <w:sz w:val="28"/>
          <w:szCs w:val="28"/>
        </w:rPr>
        <w:t>Jadelle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302A4CC8" w14:textId="77777777" w:rsidTr="00877CF2">
        <w:trPr>
          <w:jc w:val="center"/>
        </w:trPr>
        <w:tc>
          <w:tcPr>
            <w:tcW w:w="1555" w:type="dxa"/>
          </w:tcPr>
          <w:p w14:paraId="4874CF9A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444D1CD0" w14:textId="77777777" w:rsidR="001162FE" w:rsidRDefault="001162FE"/>
        </w:tc>
        <w:tc>
          <w:tcPr>
            <w:tcW w:w="1843" w:type="dxa"/>
          </w:tcPr>
          <w:p w14:paraId="5D57378B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75FAC37B" w14:textId="77777777" w:rsidR="001162FE" w:rsidRDefault="001162FE"/>
        </w:tc>
      </w:tr>
    </w:tbl>
    <w:p w14:paraId="61D05B50" w14:textId="77777777" w:rsidR="001162FE" w:rsidRDefault="001162FE"/>
    <w:p w14:paraId="114BF0EB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2E7C3EEB" w14:textId="77777777" w:rsidTr="001162FE">
        <w:tc>
          <w:tcPr>
            <w:tcW w:w="2689" w:type="dxa"/>
          </w:tcPr>
          <w:p w14:paraId="29662D9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4FEF682C" w14:textId="570B319F" w:rsidR="001162FE" w:rsidRDefault="00DB7631">
            <w:r>
              <w:t>Long-acting reversible contraception</w:t>
            </w:r>
          </w:p>
        </w:tc>
      </w:tr>
      <w:tr w:rsidR="001162FE" w14:paraId="38F58296" w14:textId="77777777" w:rsidTr="001162FE">
        <w:tc>
          <w:tcPr>
            <w:tcW w:w="2689" w:type="dxa"/>
          </w:tcPr>
          <w:p w14:paraId="6F869C8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1A2FDB1C" w14:textId="7A67FFFF" w:rsidR="001162FE" w:rsidRDefault="00754599" w:rsidP="00DB7631">
            <w:r>
              <w:t xml:space="preserve">To safely and appropriately supply </w:t>
            </w:r>
            <w:r w:rsidR="00DB7631">
              <w:t xml:space="preserve">long-acting reversible </w:t>
            </w:r>
            <w:r>
              <w:t>contraception to women.</w:t>
            </w:r>
          </w:p>
        </w:tc>
      </w:tr>
      <w:tr w:rsidR="001162FE" w14:paraId="085E7890" w14:textId="77777777" w:rsidTr="001162FE">
        <w:tc>
          <w:tcPr>
            <w:tcW w:w="2689" w:type="dxa"/>
          </w:tcPr>
          <w:p w14:paraId="3D9F7DEC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2A2478BF" w14:textId="57392EA9" w:rsidR="00210EC1" w:rsidRDefault="008168D8" w:rsidP="00E64596">
            <w:r>
              <w:t xml:space="preserve">Women who </w:t>
            </w:r>
            <w:r w:rsidR="00994E91">
              <w:t xml:space="preserve">have no contraindications. </w:t>
            </w:r>
          </w:p>
          <w:p w14:paraId="2AAEA0E0" w14:textId="5FF2810F" w:rsidR="001162FE" w:rsidRDefault="00994E91" w:rsidP="005319DC">
            <w:proofErr w:type="spellStart"/>
            <w:r w:rsidRPr="00994E91">
              <w:t>Levonorgestrel</w:t>
            </w:r>
            <w:proofErr w:type="spellEnd"/>
            <w:r w:rsidR="009D3ED0">
              <w:t xml:space="preserve"> is a progesterone only </w:t>
            </w:r>
            <w:r w:rsidR="005319DC">
              <w:t>contraceptive, and</w:t>
            </w:r>
            <w:r w:rsidR="009D3ED0">
              <w:t xml:space="preserve"> </w:t>
            </w:r>
            <w:r w:rsidRPr="00994E91">
              <w:t>prevent</w:t>
            </w:r>
            <w:r w:rsidR="009D3ED0">
              <w:t>s</w:t>
            </w:r>
            <w:r w:rsidRPr="00994E91">
              <w:t xml:space="preserve"> pregnancy by inhibiting ovulation, as well as preventing sperm penetration by altering cervical mucus. </w:t>
            </w:r>
          </w:p>
        </w:tc>
      </w:tr>
      <w:tr w:rsidR="001162FE" w14:paraId="38EF8EF4" w14:textId="77777777" w:rsidTr="001162FE">
        <w:tc>
          <w:tcPr>
            <w:tcW w:w="2689" w:type="dxa"/>
          </w:tcPr>
          <w:p w14:paraId="37759CB9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360A275F" w14:textId="337C7B56" w:rsidR="004D70C1" w:rsidRDefault="00310587" w:rsidP="004D70C1">
            <w:r>
              <w:t xml:space="preserve">1. Check height, weight, </w:t>
            </w:r>
            <w:r w:rsidR="004D70C1">
              <w:t>BMI</w:t>
            </w:r>
            <w:r>
              <w:t xml:space="preserve"> and smoking status</w:t>
            </w:r>
          </w:p>
          <w:p w14:paraId="3E9529E6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7B7533D8" w14:textId="77777777" w:rsidR="001162FE" w:rsidRDefault="004D70C1" w:rsidP="004D70C1">
            <w:r>
              <w:t>2. Check BP</w:t>
            </w:r>
          </w:p>
          <w:p w14:paraId="5A52D6C2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3705C2E5" w14:textId="77777777" w:rsidR="00440938" w:rsidRDefault="00E238FF" w:rsidP="004D70C1">
            <w:r>
              <w:t>3.</w:t>
            </w:r>
            <w:r w:rsidR="00440938">
              <w:t xml:space="preserve"> Exclude pregnancy</w:t>
            </w:r>
          </w:p>
          <w:p w14:paraId="73128CAD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19405427" w14:textId="77777777" w:rsidR="00E238FF" w:rsidRDefault="003378CB" w:rsidP="000A1A99">
            <w:r>
              <w:t xml:space="preserve">4. Check for contraindications </w:t>
            </w:r>
            <w:r w:rsidR="00210EC1">
              <w:t xml:space="preserve">and </w:t>
            </w:r>
            <w:r w:rsidR="00236E92">
              <w:t>precautions</w:t>
            </w:r>
          </w:p>
          <w:p w14:paraId="2DB20202" w14:textId="77777777" w:rsidR="00236E92" w:rsidRPr="00236E92" w:rsidRDefault="00236E92" w:rsidP="000A1A99">
            <w:pPr>
              <w:rPr>
                <w:sz w:val="12"/>
                <w:szCs w:val="12"/>
              </w:rPr>
            </w:pPr>
          </w:p>
          <w:p w14:paraId="17126D15" w14:textId="140562F5" w:rsidR="00236E92" w:rsidRDefault="00236E92" w:rsidP="000A1A99">
            <w:r>
              <w:t xml:space="preserve">5. Complete </w:t>
            </w:r>
            <w:proofErr w:type="spellStart"/>
            <w:r>
              <w:t>WellSouth</w:t>
            </w:r>
            <w:proofErr w:type="spellEnd"/>
            <w:r>
              <w:t xml:space="preserve"> portal protocol</w:t>
            </w:r>
          </w:p>
        </w:tc>
      </w:tr>
      <w:tr w:rsidR="001162FE" w14:paraId="4A052C31" w14:textId="77777777" w:rsidTr="001162FE">
        <w:tc>
          <w:tcPr>
            <w:tcW w:w="2689" w:type="dxa"/>
          </w:tcPr>
          <w:p w14:paraId="594BF5B0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521D52FA" w14:textId="3A2EC4DB" w:rsidR="001162FE" w:rsidRPr="00CD470C" w:rsidRDefault="00DB7631">
            <w:pPr>
              <w:rPr>
                <w:b/>
              </w:rPr>
            </w:pPr>
            <w:r>
              <w:rPr>
                <w:b/>
              </w:rPr>
              <w:t>Long-acting reversible contraception</w:t>
            </w:r>
          </w:p>
        </w:tc>
      </w:tr>
      <w:tr w:rsidR="001162FE" w14:paraId="2E27185A" w14:textId="77777777" w:rsidTr="001162FE">
        <w:tc>
          <w:tcPr>
            <w:tcW w:w="2689" w:type="dxa"/>
          </w:tcPr>
          <w:p w14:paraId="437D38CE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35F90AFB" w14:textId="077E7973" w:rsidR="001162FE" w:rsidRDefault="00E64596" w:rsidP="00310587">
            <w:proofErr w:type="spellStart"/>
            <w:r>
              <w:t>L</w:t>
            </w:r>
            <w:r w:rsidR="00DB7631">
              <w:t>e</w:t>
            </w:r>
            <w:r>
              <w:t>v</w:t>
            </w:r>
            <w:r w:rsidR="00DB7631">
              <w:t>onorgestrel</w:t>
            </w:r>
            <w:proofErr w:type="spellEnd"/>
            <w:r w:rsidR="00DB7631">
              <w:t xml:space="preserve"> 2 x 75mg rods (</w:t>
            </w:r>
            <w:proofErr w:type="spellStart"/>
            <w:r w:rsidR="00DB7631" w:rsidRPr="00DB7631">
              <w:rPr>
                <w:b/>
              </w:rPr>
              <w:t>Jadelle</w:t>
            </w:r>
            <w:proofErr w:type="spellEnd"/>
            <w:r w:rsidR="00DB7631">
              <w:t xml:space="preserve">) </w:t>
            </w:r>
            <w:r w:rsidR="00CD470C">
              <w:t xml:space="preserve"> </w:t>
            </w:r>
          </w:p>
        </w:tc>
      </w:tr>
      <w:tr w:rsidR="001162FE" w14:paraId="665C9871" w14:textId="77777777" w:rsidTr="001162FE">
        <w:tc>
          <w:tcPr>
            <w:tcW w:w="2689" w:type="dxa"/>
          </w:tcPr>
          <w:p w14:paraId="2CDDEE04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4A6A2D67" w14:textId="2103D8A0" w:rsidR="001162FE" w:rsidRDefault="00E64596" w:rsidP="00236E92">
            <w:r>
              <w:t xml:space="preserve">Insert 2 </w:t>
            </w:r>
            <w:proofErr w:type="spellStart"/>
            <w:r w:rsidR="00013A69">
              <w:t>levonorgestrel</w:t>
            </w:r>
            <w:proofErr w:type="spellEnd"/>
            <w:r w:rsidR="00013A69">
              <w:t xml:space="preserve"> 75mg rods into the</w:t>
            </w:r>
            <w:r w:rsidR="00210EC1">
              <w:t xml:space="preserve"> inner upper</w:t>
            </w:r>
            <w:r w:rsidR="00013A69">
              <w:t xml:space="preserve"> non-dominant arm under local anaesthetic (</w:t>
            </w:r>
            <w:r w:rsidR="00013A69" w:rsidRPr="00210EC1">
              <w:rPr>
                <w:b/>
              </w:rPr>
              <w:t>lignocaine 1%</w:t>
            </w:r>
            <w:r w:rsidR="00013A69">
              <w:t xml:space="preserve">) </w:t>
            </w:r>
          </w:p>
        </w:tc>
      </w:tr>
      <w:tr w:rsidR="001162FE" w14:paraId="412E3599" w14:textId="77777777" w:rsidTr="001162FE">
        <w:tc>
          <w:tcPr>
            <w:tcW w:w="2689" w:type="dxa"/>
          </w:tcPr>
          <w:p w14:paraId="09510C0F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0548493C" w14:textId="348C3E66" w:rsidR="001162FE" w:rsidRDefault="00DB7631" w:rsidP="00210EC1">
            <w:r>
              <w:t>Sub</w:t>
            </w:r>
            <w:r w:rsidR="00210EC1">
              <w:t>dermal</w:t>
            </w:r>
            <w:r>
              <w:t xml:space="preserve"> implant</w:t>
            </w:r>
          </w:p>
        </w:tc>
      </w:tr>
      <w:tr w:rsidR="001162FE" w14:paraId="2EFD3587" w14:textId="77777777" w:rsidTr="001162FE">
        <w:tc>
          <w:tcPr>
            <w:tcW w:w="2689" w:type="dxa"/>
          </w:tcPr>
          <w:p w14:paraId="24CB0E44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C7E2925" w14:textId="4A20EBF0" w:rsidR="00CD470C" w:rsidRDefault="00DB7631">
            <w:r>
              <w:t xml:space="preserve">2 x rods to be inserted at the same time. </w:t>
            </w:r>
          </w:p>
        </w:tc>
      </w:tr>
      <w:tr w:rsidR="001162FE" w14:paraId="608695B5" w14:textId="77777777" w:rsidTr="001162FE">
        <w:tc>
          <w:tcPr>
            <w:tcW w:w="2689" w:type="dxa"/>
          </w:tcPr>
          <w:p w14:paraId="42FB41A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02BA2E3B" w14:textId="77777777" w:rsidR="00797951" w:rsidRPr="009408C8" w:rsidRDefault="009408C8" w:rsidP="009408C8">
            <w:pPr>
              <w:pStyle w:val="ListParagraph"/>
              <w:numPr>
                <w:ilvl w:val="0"/>
                <w:numId w:val="15"/>
              </w:numPr>
            </w:pPr>
            <w:r w:rsidRPr="009408C8">
              <w:t>Pregnancy</w:t>
            </w:r>
          </w:p>
          <w:p w14:paraId="3B8C2F9A" w14:textId="77777777" w:rsidR="00797951" w:rsidRPr="009408C8" w:rsidRDefault="009408C8" w:rsidP="009408C8">
            <w:pPr>
              <w:pStyle w:val="ListParagraph"/>
              <w:numPr>
                <w:ilvl w:val="0"/>
                <w:numId w:val="15"/>
              </w:numPr>
            </w:pPr>
            <w:r w:rsidRPr="009408C8">
              <w:t>Current breast cancer - Past history of breast cancer is UK MEC 3, and it is recommended that the patient  be discussed with a specialist</w:t>
            </w:r>
          </w:p>
          <w:p w14:paraId="0C0AFA32" w14:textId="77777777" w:rsidR="00797951" w:rsidRPr="009408C8" w:rsidRDefault="009408C8" w:rsidP="009408C8">
            <w:pPr>
              <w:pStyle w:val="ListParagraph"/>
              <w:numPr>
                <w:ilvl w:val="0"/>
                <w:numId w:val="15"/>
              </w:numPr>
            </w:pPr>
            <w:r w:rsidRPr="009408C8">
              <w:t>Unexplained vaginal bleeding </w:t>
            </w:r>
          </w:p>
          <w:p w14:paraId="1C2D1314" w14:textId="1ADDF659" w:rsidR="00797951" w:rsidRPr="009408C8" w:rsidRDefault="009408C8" w:rsidP="009408C8">
            <w:pPr>
              <w:pStyle w:val="ListParagraph"/>
              <w:numPr>
                <w:ilvl w:val="0"/>
                <w:numId w:val="15"/>
              </w:numPr>
            </w:pPr>
            <w:r w:rsidRPr="009408C8">
              <w:t xml:space="preserve">Sensitivity to </w:t>
            </w:r>
            <w:proofErr w:type="spellStart"/>
            <w:r w:rsidR="00E64596">
              <w:t>levonorgestrel</w:t>
            </w:r>
            <w:proofErr w:type="spellEnd"/>
            <w:r w:rsidRPr="009408C8">
              <w:t xml:space="preserve"> or other component of </w:t>
            </w:r>
            <w:proofErr w:type="spellStart"/>
            <w:r w:rsidRPr="009408C8">
              <w:t>Jadelle</w:t>
            </w:r>
            <w:proofErr w:type="spellEnd"/>
            <w:r w:rsidRPr="009408C8">
              <w:t>®</w:t>
            </w:r>
          </w:p>
          <w:p w14:paraId="4013A329" w14:textId="5CAC49F4" w:rsidR="008D2277" w:rsidRDefault="009408C8" w:rsidP="009255C8">
            <w:pPr>
              <w:pStyle w:val="ListParagraph"/>
              <w:numPr>
                <w:ilvl w:val="0"/>
                <w:numId w:val="15"/>
              </w:numPr>
            </w:pPr>
            <w:r w:rsidRPr="009408C8">
              <w:t>Current or past liver tumour (benign or malignant)</w:t>
            </w:r>
            <w:r w:rsidR="009B57DF">
              <w:t xml:space="preserve"> or severe liver disease</w:t>
            </w:r>
          </w:p>
          <w:p w14:paraId="52AD619D" w14:textId="1D516916" w:rsidR="009B57DF" w:rsidRDefault="009B57DF" w:rsidP="009255C8">
            <w:pPr>
              <w:pStyle w:val="ListParagraph"/>
              <w:numPr>
                <w:ilvl w:val="0"/>
                <w:numId w:val="15"/>
              </w:numPr>
            </w:pPr>
            <w:r>
              <w:t>Active venous thromboembolic disorder</w:t>
            </w:r>
          </w:p>
        </w:tc>
      </w:tr>
      <w:tr w:rsidR="001162FE" w14:paraId="71449F59" w14:textId="77777777" w:rsidTr="001162FE">
        <w:tc>
          <w:tcPr>
            <w:tcW w:w="2689" w:type="dxa"/>
          </w:tcPr>
          <w:p w14:paraId="262A1A25" w14:textId="7E4B685A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1C472AE0" w14:textId="54DE7F45" w:rsidR="008D2277" w:rsidRDefault="008D2277" w:rsidP="009408C8">
            <w:r>
              <w:t xml:space="preserve">If the woman is on </w:t>
            </w:r>
            <w:r w:rsidRPr="008D2277">
              <w:t xml:space="preserve">enzyme inducing drugs, </w:t>
            </w:r>
            <w:r>
              <w:t xml:space="preserve">you will need to contact a </w:t>
            </w:r>
            <w:r w:rsidR="000A1A99">
              <w:t>Medical or Nurse Practitioner</w:t>
            </w:r>
            <w:r>
              <w:t xml:space="preserve"> for advice.</w:t>
            </w:r>
          </w:p>
        </w:tc>
      </w:tr>
      <w:tr w:rsidR="008C2A3F" w14:paraId="403A803D" w14:textId="77777777" w:rsidTr="001162FE">
        <w:tc>
          <w:tcPr>
            <w:tcW w:w="2689" w:type="dxa"/>
          </w:tcPr>
          <w:p w14:paraId="70A22093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5C5F0F7F" w14:textId="161ED5FC" w:rsidR="00E64596" w:rsidRDefault="00E64596" w:rsidP="00FB332B">
            <w:pPr>
              <w:rPr>
                <w:lang w:val="en-GB"/>
              </w:rPr>
            </w:pPr>
            <w:r>
              <w:rPr>
                <w:lang w:val="en-GB"/>
              </w:rPr>
              <w:t>Advise</w:t>
            </w:r>
            <w:r w:rsidR="00904478">
              <w:rPr>
                <w:lang w:val="en-GB"/>
              </w:rPr>
              <w:t xml:space="preserve"> that </w:t>
            </w:r>
            <w:proofErr w:type="spellStart"/>
            <w:r w:rsidR="00904478">
              <w:rPr>
                <w:lang w:val="en-GB"/>
              </w:rPr>
              <w:t>Jadelle</w:t>
            </w:r>
            <w:proofErr w:type="spellEnd"/>
            <w:r w:rsidR="00904478">
              <w:rPr>
                <w:lang w:val="en-GB"/>
              </w:rPr>
              <w:t xml:space="preserve"> has high rates of effectiveness compared w</w:t>
            </w:r>
            <w:r w:rsidR="00416424">
              <w:rPr>
                <w:lang w:val="en-GB"/>
              </w:rPr>
              <w:t>i</w:t>
            </w:r>
            <w:r w:rsidR="005319DC">
              <w:rPr>
                <w:lang w:val="en-GB"/>
              </w:rPr>
              <w:t xml:space="preserve">th other contraceptive options. </w:t>
            </w:r>
            <w:r w:rsidR="00416424">
              <w:rPr>
                <w:lang w:val="en-GB"/>
              </w:rPr>
              <w:t>The annual</w:t>
            </w:r>
            <w:r>
              <w:rPr>
                <w:lang w:val="en-GB"/>
              </w:rPr>
              <w:t xml:space="preserve"> pregnancy rate per 100 users </w:t>
            </w:r>
            <w:r w:rsidR="00904478">
              <w:rPr>
                <w:lang w:val="en-GB"/>
              </w:rPr>
              <w:t>are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2"/>
              <w:gridCol w:w="1276"/>
              <w:gridCol w:w="1134"/>
            </w:tblGrid>
            <w:tr w:rsidR="00416424" w14:paraId="495C0D1C" w14:textId="77777777" w:rsidTr="00416424">
              <w:tc>
                <w:tcPr>
                  <w:tcW w:w="1162" w:type="dxa"/>
                </w:tcPr>
                <w:p w14:paraId="1D9F56AB" w14:textId="77777777" w:rsidR="00416424" w:rsidRDefault="00416424" w:rsidP="00FB332B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276" w:type="dxa"/>
                </w:tcPr>
                <w:p w14:paraId="04CCA8D4" w14:textId="6B6FBA72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&lt;60kg</w:t>
                  </w:r>
                </w:p>
              </w:tc>
              <w:tc>
                <w:tcPr>
                  <w:tcW w:w="1134" w:type="dxa"/>
                </w:tcPr>
                <w:p w14:paraId="3A75842A" w14:textId="385087FF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&gt;60kg</w:t>
                  </w:r>
                </w:p>
              </w:tc>
            </w:tr>
            <w:tr w:rsidR="00416424" w14:paraId="380C937E" w14:textId="77777777" w:rsidTr="00416424">
              <w:tc>
                <w:tcPr>
                  <w:tcW w:w="1162" w:type="dxa"/>
                </w:tcPr>
                <w:p w14:paraId="6C4F07B7" w14:textId="7B63AC74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Year 1</w:t>
                  </w:r>
                </w:p>
              </w:tc>
              <w:tc>
                <w:tcPr>
                  <w:tcW w:w="1276" w:type="dxa"/>
                </w:tcPr>
                <w:p w14:paraId="2EE7F822" w14:textId="4985591B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0.1</w:t>
                  </w:r>
                </w:p>
              </w:tc>
              <w:tc>
                <w:tcPr>
                  <w:tcW w:w="1134" w:type="dxa"/>
                </w:tcPr>
                <w:p w14:paraId="1427058C" w14:textId="429D340B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0.2</w:t>
                  </w:r>
                </w:p>
              </w:tc>
            </w:tr>
            <w:tr w:rsidR="00416424" w14:paraId="06862C2C" w14:textId="77777777" w:rsidTr="00416424">
              <w:tc>
                <w:tcPr>
                  <w:tcW w:w="1162" w:type="dxa"/>
                </w:tcPr>
                <w:p w14:paraId="55831520" w14:textId="4D758C5A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Year 2</w:t>
                  </w:r>
                </w:p>
              </w:tc>
              <w:tc>
                <w:tcPr>
                  <w:tcW w:w="1276" w:type="dxa"/>
                </w:tcPr>
                <w:p w14:paraId="20CE49FD" w14:textId="1BB84C7C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0.1</w:t>
                  </w:r>
                </w:p>
              </w:tc>
              <w:tc>
                <w:tcPr>
                  <w:tcW w:w="1134" w:type="dxa"/>
                </w:tcPr>
                <w:p w14:paraId="24F92ED3" w14:textId="23E25C7F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0.2</w:t>
                  </w:r>
                </w:p>
              </w:tc>
            </w:tr>
            <w:tr w:rsidR="00416424" w14:paraId="01DAE121" w14:textId="77777777" w:rsidTr="00416424">
              <w:tc>
                <w:tcPr>
                  <w:tcW w:w="1162" w:type="dxa"/>
                </w:tcPr>
                <w:p w14:paraId="64594D74" w14:textId="22814629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Year 3</w:t>
                  </w:r>
                </w:p>
              </w:tc>
              <w:tc>
                <w:tcPr>
                  <w:tcW w:w="1276" w:type="dxa"/>
                </w:tcPr>
                <w:p w14:paraId="50FD4131" w14:textId="085AE533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0.1</w:t>
                  </w:r>
                </w:p>
              </w:tc>
              <w:tc>
                <w:tcPr>
                  <w:tcW w:w="1134" w:type="dxa"/>
                </w:tcPr>
                <w:p w14:paraId="1EBADDC7" w14:textId="3E032717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0.3</w:t>
                  </w:r>
                </w:p>
              </w:tc>
            </w:tr>
            <w:tr w:rsidR="00416424" w14:paraId="3BA8F63B" w14:textId="77777777" w:rsidTr="00416424">
              <w:tc>
                <w:tcPr>
                  <w:tcW w:w="1162" w:type="dxa"/>
                </w:tcPr>
                <w:p w14:paraId="44FB6D8E" w14:textId="3AD64902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Year 4</w:t>
                  </w:r>
                </w:p>
              </w:tc>
              <w:tc>
                <w:tcPr>
                  <w:tcW w:w="1276" w:type="dxa"/>
                </w:tcPr>
                <w:p w14:paraId="7CA6ADC3" w14:textId="22179931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0.0</w:t>
                  </w:r>
                </w:p>
              </w:tc>
              <w:tc>
                <w:tcPr>
                  <w:tcW w:w="1134" w:type="dxa"/>
                </w:tcPr>
                <w:p w14:paraId="21650621" w14:textId="19FF649D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0.0</w:t>
                  </w:r>
                </w:p>
              </w:tc>
            </w:tr>
            <w:tr w:rsidR="00416424" w14:paraId="18242F11" w14:textId="77777777" w:rsidTr="00416424">
              <w:tc>
                <w:tcPr>
                  <w:tcW w:w="1162" w:type="dxa"/>
                </w:tcPr>
                <w:p w14:paraId="5BFB11E5" w14:textId="6CA32312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Year 5</w:t>
                  </w:r>
                </w:p>
              </w:tc>
              <w:tc>
                <w:tcPr>
                  <w:tcW w:w="1276" w:type="dxa"/>
                </w:tcPr>
                <w:p w14:paraId="49EA5D93" w14:textId="7E5CA119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0.8</w:t>
                  </w:r>
                </w:p>
              </w:tc>
              <w:tc>
                <w:tcPr>
                  <w:tcW w:w="1134" w:type="dxa"/>
                </w:tcPr>
                <w:p w14:paraId="3F14B302" w14:textId="75C3AAE8" w:rsidR="00416424" w:rsidRDefault="00416424" w:rsidP="00FB332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1.1</w:t>
                  </w:r>
                </w:p>
              </w:tc>
            </w:tr>
          </w:tbl>
          <w:p w14:paraId="7CB6C5CF" w14:textId="77777777" w:rsidR="00013A69" w:rsidRPr="00210EC1" w:rsidRDefault="00013A69" w:rsidP="00FB332B">
            <w:pPr>
              <w:rPr>
                <w:sz w:val="10"/>
                <w:szCs w:val="10"/>
                <w:lang w:val="en-GB"/>
              </w:rPr>
            </w:pPr>
          </w:p>
          <w:p w14:paraId="0ACF9A60" w14:textId="21C41ED6" w:rsidR="00013A69" w:rsidRDefault="00013A69" w:rsidP="00FB332B">
            <w:pPr>
              <w:rPr>
                <w:lang w:val="en-GB"/>
              </w:rPr>
            </w:pPr>
            <w:r>
              <w:rPr>
                <w:lang w:val="en-GB"/>
              </w:rPr>
              <w:t xml:space="preserve">Advise the women that other methods of contraception need to be used for 7 days </w:t>
            </w:r>
            <w:r w:rsidR="00210EC1">
              <w:rPr>
                <w:lang w:val="en-GB"/>
              </w:rPr>
              <w:t>if inserted</w:t>
            </w:r>
            <w:r w:rsidR="0055338D">
              <w:rPr>
                <w:lang w:val="en-GB"/>
              </w:rPr>
              <w:t xml:space="preserve"> after day 5 of menstrual cycle (and they have been using reliable contraception prior to insertion)</w:t>
            </w:r>
          </w:p>
          <w:p w14:paraId="5962183C" w14:textId="77777777" w:rsidR="00013A69" w:rsidRPr="00210EC1" w:rsidRDefault="00013A69" w:rsidP="00FB332B">
            <w:pPr>
              <w:rPr>
                <w:sz w:val="10"/>
                <w:szCs w:val="10"/>
                <w:lang w:val="en-GB"/>
              </w:rPr>
            </w:pPr>
          </w:p>
          <w:p w14:paraId="3022C6B7" w14:textId="6C01D947" w:rsidR="00FB332B" w:rsidRPr="00FB332B" w:rsidRDefault="00FB332B" w:rsidP="00FB33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Advise</w:t>
            </w:r>
            <w:proofErr w:type="spellEnd"/>
            <w:r>
              <w:rPr>
                <w:lang w:val="en-GB"/>
              </w:rPr>
              <w:t xml:space="preserve"> regarding s</w:t>
            </w:r>
            <w:r w:rsidRPr="00FB332B">
              <w:rPr>
                <w:lang w:val="en-GB"/>
              </w:rPr>
              <w:t>ide effects:</w:t>
            </w:r>
          </w:p>
          <w:p w14:paraId="73B0457A" w14:textId="09202549" w:rsidR="00E64596" w:rsidRPr="00E64596" w:rsidRDefault="00013A69" w:rsidP="00E64596">
            <w:pPr>
              <w:numPr>
                <w:ilvl w:val="3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Pain, tingling, b</w:t>
            </w:r>
            <w:r w:rsidR="00E64596">
              <w:rPr>
                <w:lang w:val="en-GB"/>
              </w:rPr>
              <w:t>ruising, scarring and/or infection at insertion site</w:t>
            </w:r>
          </w:p>
          <w:p w14:paraId="215E24B5" w14:textId="08AC7DB4" w:rsidR="00FB332B" w:rsidRPr="00FB332B" w:rsidRDefault="00E64596" w:rsidP="00FB332B">
            <w:pPr>
              <w:numPr>
                <w:ilvl w:val="3"/>
                <w:numId w:val="12"/>
              </w:numPr>
              <w:rPr>
                <w:lang w:val="en-GB"/>
              </w:rPr>
            </w:pPr>
            <w:r>
              <w:rPr>
                <w:lang w:val="en-GB"/>
              </w:rPr>
              <w:t>Difficulty removing rods, with requirement for referral for removal</w:t>
            </w:r>
          </w:p>
          <w:p w14:paraId="33B30ABF" w14:textId="02DDCBD7" w:rsidR="00FB332B" w:rsidRPr="00FB332B" w:rsidRDefault="00FB332B" w:rsidP="00FB332B">
            <w:pPr>
              <w:numPr>
                <w:ilvl w:val="3"/>
                <w:numId w:val="12"/>
              </w:numPr>
              <w:rPr>
                <w:lang w:val="en-GB"/>
              </w:rPr>
            </w:pPr>
            <w:r w:rsidRPr="00FB332B">
              <w:rPr>
                <w:lang w:val="en-GB"/>
              </w:rPr>
              <w:t xml:space="preserve">Frequent irregular bleeding – 14% removed </w:t>
            </w:r>
          </w:p>
          <w:p w14:paraId="76B016CD" w14:textId="77777777" w:rsidR="00FB332B" w:rsidRPr="00FB332B" w:rsidRDefault="00FB332B" w:rsidP="00FB332B">
            <w:pPr>
              <w:numPr>
                <w:ilvl w:val="4"/>
                <w:numId w:val="12"/>
              </w:numPr>
              <w:rPr>
                <w:lang w:val="en-GB"/>
              </w:rPr>
            </w:pPr>
            <w:r w:rsidRPr="00FB332B">
              <w:rPr>
                <w:lang w:val="en-GB"/>
              </w:rPr>
              <w:lastRenderedPageBreak/>
              <w:t>1 in 10 frequent bleeding</w:t>
            </w:r>
          </w:p>
          <w:p w14:paraId="5C67B95F" w14:textId="77777777" w:rsidR="00FB332B" w:rsidRPr="00FB332B" w:rsidRDefault="00FB332B" w:rsidP="00FB332B">
            <w:pPr>
              <w:numPr>
                <w:ilvl w:val="4"/>
                <w:numId w:val="12"/>
              </w:numPr>
              <w:rPr>
                <w:lang w:val="en-GB"/>
              </w:rPr>
            </w:pPr>
            <w:r w:rsidRPr="00FB332B">
              <w:rPr>
                <w:lang w:val="en-GB"/>
              </w:rPr>
              <w:t>2 in 10 prolonged bleeding</w:t>
            </w:r>
          </w:p>
          <w:p w14:paraId="4939A85F" w14:textId="3DF9996B" w:rsidR="00FB332B" w:rsidRPr="00416424" w:rsidRDefault="00FB332B" w:rsidP="00210EC1">
            <w:pPr>
              <w:numPr>
                <w:ilvl w:val="4"/>
                <w:numId w:val="12"/>
              </w:numPr>
              <w:rPr>
                <w:lang w:val="en-GB"/>
              </w:rPr>
            </w:pPr>
            <w:r w:rsidRPr="00FB332B">
              <w:rPr>
                <w:lang w:val="en-GB"/>
              </w:rPr>
              <w:t>2 in 10 no periods</w:t>
            </w:r>
          </w:p>
          <w:p w14:paraId="7250D0D9" w14:textId="01DFCAD6" w:rsidR="00FB332B" w:rsidRPr="00FB332B" w:rsidRDefault="00FB332B" w:rsidP="00FB332B">
            <w:pPr>
              <w:numPr>
                <w:ilvl w:val="4"/>
                <w:numId w:val="12"/>
              </w:numPr>
              <w:rPr>
                <w:lang w:val="en-GB"/>
              </w:rPr>
            </w:pPr>
            <w:r w:rsidRPr="00FB332B">
              <w:rPr>
                <w:lang w:val="en-GB"/>
              </w:rPr>
              <w:t>3 in 10 infrequent spotting</w:t>
            </w:r>
          </w:p>
          <w:p w14:paraId="5C7B4E9F" w14:textId="77777777" w:rsidR="0083117A" w:rsidRPr="0083117A" w:rsidRDefault="0083117A" w:rsidP="0083117A">
            <w:pPr>
              <w:pStyle w:val="ListParagraph"/>
              <w:rPr>
                <w:sz w:val="12"/>
                <w:szCs w:val="12"/>
              </w:rPr>
            </w:pPr>
          </w:p>
          <w:p w14:paraId="01840182" w14:textId="77777777" w:rsidR="008C2A3F" w:rsidRDefault="0083117A" w:rsidP="0083117A">
            <w:r>
              <w:t>Offer condoms</w:t>
            </w:r>
          </w:p>
        </w:tc>
      </w:tr>
      <w:tr w:rsidR="008C2A3F" w14:paraId="2C1A9CF3" w14:textId="77777777" w:rsidTr="001162FE">
        <w:tc>
          <w:tcPr>
            <w:tcW w:w="2689" w:type="dxa"/>
          </w:tcPr>
          <w:p w14:paraId="1F567DDA" w14:textId="55A692D9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Follow-up</w:t>
            </w:r>
          </w:p>
        </w:tc>
        <w:tc>
          <w:tcPr>
            <w:tcW w:w="8073" w:type="dxa"/>
          </w:tcPr>
          <w:p w14:paraId="487715F2" w14:textId="3803D5B3" w:rsidR="00994E91" w:rsidRDefault="00994E91" w:rsidP="00994E91">
            <w:proofErr w:type="spellStart"/>
            <w:r>
              <w:t>Jadelle</w:t>
            </w:r>
            <w:proofErr w:type="spellEnd"/>
            <w:r>
              <w:t xml:space="preserve"> p</w:t>
            </w:r>
            <w:r w:rsidR="00013A69">
              <w:t>r</w:t>
            </w:r>
            <w:r w:rsidRPr="00994E91">
              <w:t>ovide</w:t>
            </w:r>
            <w:r>
              <w:t>s</w:t>
            </w:r>
            <w:r w:rsidRPr="00994E91">
              <w:t xml:space="preserve"> protection for a period of up to five years. However, patients weighing over 60 kg </w:t>
            </w:r>
            <w:r w:rsidR="00416424">
              <w:t>may be offered to</w:t>
            </w:r>
            <w:r w:rsidRPr="00994E91">
              <w:t xml:space="preserve"> have the rods replaced after four years due to the possibility of reduced efficacy after this time</w:t>
            </w:r>
            <w:r w:rsidR="005319DC">
              <w:t xml:space="preserve"> (see annual pregnancy rates above)</w:t>
            </w:r>
            <w:bookmarkStart w:id="0" w:name="_GoBack"/>
            <w:bookmarkEnd w:id="0"/>
            <w:r w:rsidRPr="00994E91">
              <w:t>.</w:t>
            </w:r>
          </w:p>
          <w:p w14:paraId="40F170A5" w14:textId="77777777" w:rsidR="00210EC1" w:rsidRPr="00210EC1" w:rsidRDefault="00210EC1" w:rsidP="00994E91">
            <w:pPr>
              <w:rPr>
                <w:sz w:val="10"/>
                <w:szCs w:val="10"/>
              </w:rPr>
            </w:pPr>
          </w:p>
          <w:p w14:paraId="097B31BA" w14:textId="77777777" w:rsidR="008C2A3F" w:rsidRDefault="00046C9D" w:rsidP="00994E91">
            <w:r>
              <w:t>Ensure a recall is in place on computer for removal of the</w:t>
            </w:r>
            <w:r w:rsidR="00994E91">
              <w:t xml:space="preserve"> 2 x </w:t>
            </w:r>
            <w:proofErr w:type="spellStart"/>
            <w:r w:rsidR="00994E91">
              <w:t>Jadelle</w:t>
            </w:r>
            <w:proofErr w:type="spellEnd"/>
            <w:r w:rsidR="00994E91">
              <w:t xml:space="preserve"> rods at the appropriate time frame. </w:t>
            </w:r>
          </w:p>
          <w:p w14:paraId="7295BD41" w14:textId="77777777" w:rsidR="00210EC1" w:rsidRPr="00210EC1" w:rsidRDefault="00210EC1" w:rsidP="00994E91">
            <w:pPr>
              <w:rPr>
                <w:sz w:val="10"/>
                <w:szCs w:val="10"/>
              </w:rPr>
            </w:pPr>
          </w:p>
          <w:p w14:paraId="3F0E8BEB" w14:textId="562F607F" w:rsidR="00210EC1" w:rsidRDefault="00210EC1" w:rsidP="00994E91">
            <w:r>
              <w:t xml:space="preserve">Ensure the women knows that the </w:t>
            </w:r>
            <w:proofErr w:type="spellStart"/>
            <w:r>
              <w:t>Jadelle</w:t>
            </w:r>
            <w:proofErr w:type="spellEnd"/>
            <w:r>
              <w:t xml:space="preserve"> rods can be removed at any time. </w:t>
            </w:r>
          </w:p>
        </w:tc>
      </w:tr>
      <w:tr w:rsidR="0070113B" w14:paraId="027D4CD6" w14:textId="77777777" w:rsidTr="001162FE">
        <w:tc>
          <w:tcPr>
            <w:tcW w:w="2689" w:type="dxa"/>
          </w:tcPr>
          <w:p w14:paraId="1403E34E" w14:textId="03A50674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7433F6AF" w14:textId="77777777" w:rsidR="0070113B" w:rsidRDefault="0070113B" w:rsidP="0070113B">
            <w:r>
              <w:t>Countersigning is not required. Audited monthly.</w:t>
            </w:r>
          </w:p>
          <w:p w14:paraId="088B7F21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6A98C9A9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7C2565C1" w14:textId="77777777" w:rsidTr="001162FE">
        <w:tc>
          <w:tcPr>
            <w:tcW w:w="2689" w:type="dxa"/>
          </w:tcPr>
          <w:p w14:paraId="1BF96B90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4AA0212C" w14:textId="0C5F5B81" w:rsidR="0070113B" w:rsidRDefault="0070113B" w:rsidP="00DB7631">
            <w:r>
              <w:t xml:space="preserve">All nurses working under this standing order must be signed off as competent to do so by the issuer and have had specific training </w:t>
            </w:r>
            <w:r w:rsidR="00DB7631">
              <w:t xml:space="preserve"> provided by </w:t>
            </w:r>
            <w:proofErr w:type="spellStart"/>
            <w:r w:rsidR="00DB7631">
              <w:t>WellSouth</w:t>
            </w:r>
            <w:proofErr w:type="spellEnd"/>
            <w:r w:rsidR="00DB7631">
              <w:t xml:space="preserve"> </w:t>
            </w:r>
            <w:r>
              <w:t xml:space="preserve">in </w:t>
            </w:r>
            <w:r w:rsidR="00DB7631">
              <w:t xml:space="preserve">the insertion of </w:t>
            </w:r>
            <w:proofErr w:type="spellStart"/>
            <w:r w:rsidR="00DB7631">
              <w:t>Jadelle’s</w:t>
            </w:r>
            <w:proofErr w:type="spellEnd"/>
            <w:r w:rsidR="00DB7631">
              <w:t xml:space="preserve">. </w:t>
            </w:r>
          </w:p>
        </w:tc>
      </w:tr>
      <w:tr w:rsidR="0070113B" w14:paraId="22A1819D" w14:textId="77777777" w:rsidTr="001162FE">
        <w:tc>
          <w:tcPr>
            <w:tcW w:w="2689" w:type="dxa"/>
          </w:tcPr>
          <w:p w14:paraId="41BD95F9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57E045CB" w14:textId="42EC2CE7" w:rsidR="00046C9D" w:rsidRDefault="00046C9D" w:rsidP="00476AA6">
            <w:r>
              <w:t xml:space="preserve">Family Planning at </w:t>
            </w:r>
            <w:hyperlink r:id="rId9" w:history="1">
              <w:r w:rsidRPr="00046C9D">
                <w:rPr>
                  <w:rStyle w:val="Hyperlink"/>
                </w:rPr>
                <w:t>www.familyplanning.org.nz</w:t>
              </w:r>
            </w:hyperlink>
            <w:r w:rsidRPr="00046C9D">
              <w:t xml:space="preserve"> </w:t>
            </w:r>
          </w:p>
          <w:p w14:paraId="212F4AD9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10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2E57350F" w14:textId="77777777" w:rsidR="00476AA6" w:rsidRDefault="00476AA6" w:rsidP="00476AA6">
            <w:r>
              <w:t xml:space="preserve">Best Practice Journal at </w:t>
            </w:r>
            <w:hyperlink r:id="rId11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629B4C33" w14:textId="77777777" w:rsidR="00476AA6" w:rsidRDefault="00476AA6" w:rsidP="00476AA6">
            <w:r>
              <w:t xml:space="preserve">New Zealand Formulary at </w:t>
            </w:r>
            <w:hyperlink r:id="rId12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7AC732DD" w14:textId="77777777" w:rsidR="00476AA6" w:rsidRDefault="00476AA6" w:rsidP="00476AA6">
            <w:r>
              <w:t xml:space="preserve">Individual medicine data sheets at </w:t>
            </w:r>
            <w:hyperlink r:id="rId13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46F74F88" w14:textId="77777777" w:rsidR="005216BC" w:rsidRDefault="00476AA6" w:rsidP="0070113B">
            <w:r>
              <w:t>Standing Order Guidelines, Ministry of Health, 2012</w:t>
            </w:r>
          </w:p>
          <w:p w14:paraId="18B2E901" w14:textId="77777777" w:rsidR="0068762A" w:rsidRDefault="0068762A" w:rsidP="0070113B">
            <w:r>
              <w:t>Medicines (Standing Order) Regulations 2012 (Standing Order Regulations)</w:t>
            </w:r>
          </w:p>
        </w:tc>
      </w:tr>
      <w:tr w:rsidR="0070113B" w14:paraId="47A9454D" w14:textId="77777777" w:rsidTr="001162FE">
        <w:tc>
          <w:tcPr>
            <w:tcW w:w="2689" w:type="dxa"/>
          </w:tcPr>
          <w:p w14:paraId="28F62AFE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06DC2CA4" w14:textId="77777777" w:rsidR="0070113B" w:rsidRDefault="004A63CB" w:rsidP="0070113B">
            <w:r>
              <w:t>None</w:t>
            </w:r>
          </w:p>
        </w:tc>
      </w:tr>
    </w:tbl>
    <w:p w14:paraId="43D47DE1" w14:textId="77777777" w:rsidR="001162FE" w:rsidRDefault="001162FE"/>
    <w:p w14:paraId="49EDF196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1FCD2829" w14:textId="77777777" w:rsidTr="005F243B">
        <w:tc>
          <w:tcPr>
            <w:tcW w:w="2689" w:type="dxa"/>
          </w:tcPr>
          <w:p w14:paraId="4859E0F5" w14:textId="77777777" w:rsidR="008C2A3F" w:rsidRPr="0064385C" w:rsidRDefault="008C2A3F" w:rsidP="005F243B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3B17EC33" w14:textId="77777777" w:rsidR="008C2A3F" w:rsidRDefault="008C2A3F" w:rsidP="005F243B"/>
        </w:tc>
      </w:tr>
    </w:tbl>
    <w:p w14:paraId="1C8A7940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2CD2AE2A" w14:textId="77777777" w:rsidTr="00877CF2">
        <w:tc>
          <w:tcPr>
            <w:tcW w:w="2122" w:type="dxa"/>
          </w:tcPr>
          <w:p w14:paraId="075A434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297058C7" w14:textId="77777777" w:rsidR="001162FE" w:rsidRDefault="001162FE"/>
    <w:p w14:paraId="560A83C3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6C6DB5E4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23DBA8BF" w14:textId="77777777" w:rsidTr="0064385C">
        <w:trPr>
          <w:trHeight w:val="123"/>
        </w:trPr>
        <w:tc>
          <w:tcPr>
            <w:tcW w:w="4531" w:type="dxa"/>
          </w:tcPr>
          <w:p w14:paraId="47E7D4CD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3CE56CEC" w14:textId="77777777" w:rsidR="001162FE" w:rsidRDefault="001162FE"/>
    <w:p w14:paraId="489062CA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662ABD0B" w14:textId="77777777" w:rsidR="001162FE" w:rsidRDefault="001162FE">
      <w:r>
        <w:t>We the undersigned agree that we have read, understood and will comply with this standing order and all associated documents.</w:t>
      </w:r>
    </w:p>
    <w:p w14:paraId="10A32AC9" w14:textId="77777777" w:rsidR="001162FE" w:rsidRDefault="001162FE"/>
    <w:p w14:paraId="5EAD280D" w14:textId="77777777" w:rsidR="001162FE" w:rsidRDefault="001162FE">
      <w:r>
        <w:t>Name: ______________________   Signature: __________________________  Date: ______________</w:t>
      </w:r>
    </w:p>
    <w:p w14:paraId="33E65C0E" w14:textId="77777777" w:rsidR="001162FE" w:rsidRDefault="001162FE" w:rsidP="001162FE">
      <w:r>
        <w:t>Name: ______________________   Signature: __________________________  Date: ______________</w:t>
      </w:r>
    </w:p>
    <w:p w14:paraId="27665D0E" w14:textId="77777777" w:rsidR="001162FE" w:rsidRDefault="001162FE" w:rsidP="001162FE">
      <w:r>
        <w:t>Name: ______________________   Signature: __________________________  Date: ______________</w:t>
      </w:r>
    </w:p>
    <w:p w14:paraId="1D0C9F01" w14:textId="77777777" w:rsidR="001162FE" w:rsidRDefault="001162FE">
      <w:r>
        <w:lastRenderedPageBreak/>
        <w:t>Name: ______________________   Signature: __________________________  Date: ______________</w:t>
      </w:r>
    </w:p>
    <w:sectPr w:rsidR="001162FE" w:rsidSect="00D270A8">
      <w:headerReference w:type="default" r:id="rId14"/>
      <w:footerReference w:type="even" r:id="rId15"/>
      <w:footerReference w:type="default" r:id="rId16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A21AC" w14:textId="77777777" w:rsidR="009B57DF" w:rsidRDefault="009B57DF" w:rsidP="00F94BFA">
      <w:pPr>
        <w:spacing w:after="0" w:line="240" w:lineRule="auto"/>
      </w:pPr>
      <w:r>
        <w:separator/>
      </w:r>
    </w:p>
  </w:endnote>
  <w:endnote w:type="continuationSeparator" w:id="0">
    <w:p w14:paraId="442AD9E2" w14:textId="77777777" w:rsidR="009B57DF" w:rsidRDefault="009B57DF" w:rsidP="00F9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31BDE" w14:textId="77777777" w:rsidR="009B57DF" w:rsidRDefault="009B57DF" w:rsidP="00F94BF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DBF0" w14:textId="10305B1F" w:rsidR="009B57DF" w:rsidRDefault="009B57DF" w:rsidP="00F94BFA">
    <w:pPr>
      <w:pStyle w:val="Footer"/>
    </w:pPr>
    <w:proofErr w:type="spellStart"/>
    <w:r>
      <w:t>Jadelle</w:t>
    </w:r>
    <w:proofErr w:type="spellEnd"/>
    <w:r>
      <w:t xml:space="preserve"> Standing Order</w:t>
    </w:r>
    <w:r>
      <w:tab/>
      <w:t>August 2019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936C5" w14:textId="77777777" w:rsidR="009B57DF" w:rsidRDefault="009B57DF" w:rsidP="00F94BFA">
      <w:pPr>
        <w:spacing w:after="0" w:line="240" w:lineRule="auto"/>
      </w:pPr>
      <w:r>
        <w:separator/>
      </w:r>
    </w:p>
  </w:footnote>
  <w:footnote w:type="continuationSeparator" w:id="0">
    <w:p w14:paraId="3DEF6E83" w14:textId="77777777" w:rsidR="009B57DF" w:rsidRDefault="009B57DF" w:rsidP="00F9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10A7" w14:textId="77777777" w:rsidR="009B57DF" w:rsidRDefault="009B57DF" w:rsidP="00F94B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8A4"/>
    <w:multiLevelType w:val="hybridMultilevel"/>
    <w:tmpl w:val="A0CC4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7B5"/>
    <w:multiLevelType w:val="hybridMultilevel"/>
    <w:tmpl w:val="1F067F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ACB"/>
    <w:multiLevelType w:val="hybridMultilevel"/>
    <w:tmpl w:val="81C4C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50BE5"/>
    <w:multiLevelType w:val="multilevel"/>
    <w:tmpl w:val="F280C392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5079E6"/>
    <w:multiLevelType w:val="hybridMultilevel"/>
    <w:tmpl w:val="A4AA7828"/>
    <w:lvl w:ilvl="0" w:tplc="07D283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D804B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14613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7985E8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33E93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27C703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A7A21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8D8FE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572F35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284F09C7"/>
    <w:multiLevelType w:val="hybridMultilevel"/>
    <w:tmpl w:val="AD5C2C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877"/>
    <w:multiLevelType w:val="multilevel"/>
    <w:tmpl w:val="F280C392"/>
    <w:numStyleLink w:val="Style1"/>
  </w:abstractNum>
  <w:abstractNum w:abstractNumId="7" w15:restartNumberingAfterBreak="0">
    <w:nsid w:val="3BFD08C0"/>
    <w:multiLevelType w:val="hybridMultilevel"/>
    <w:tmpl w:val="AF34F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0FA9"/>
    <w:multiLevelType w:val="hybridMultilevel"/>
    <w:tmpl w:val="6BDC4A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6B9C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01319"/>
    <w:multiLevelType w:val="hybridMultilevel"/>
    <w:tmpl w:val="CCC2B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4EE8"/>
    <w:multiLevelType w:val="hybridMultilevel"/>
    <w:tmpl w:val="D4380F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B2F80"/>
    <w:multiLevelType w:val="hybridMultilevel"/>
    <w:tmpl w:val="FE0E15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61A8"/>
    <w:multiLevelType w:val="hybridMultilevel"/>
    <w:tmpl w:val="49B88C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A392D"/>
    <w:multiLevelType w:val="hybridMultilevel"/>
    <w:tmpl w:val="4DA8B9B8"/>
    <w:lvl w:ilvl="0" w:tplc="22349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1462C"/>
    <w:multiLevelType w:val="hybridMultilevel"/>
    <w:tmpl w:val="B338EB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E22FB"/>
    <w:multiLevelType w:val="hybridMultilevel"/>
    <w:tmpl w:val="7FA2F690"/>
    <w:lvl w:ilvl="0" w:tplc="CE1A6F0A">
      <w:numFmt w:val="bullet"/>
      <w:lvlText w:val="●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13A69"/>
    <w:rsid w:val="000430CD"/>
    <w:rsid w:val="00046C9D"/>
    <w:rsid w:val="00047658"/>
    <w:rsid w:val="000A1A99"/>
    <w:rsid w:val="000E47A6"/>
    <w:rsid w:val="001162FE"/>
    <w:rsid w:val="00123A68"/>
    <w:rsid w:val="00210EC1"/>
    <w:rsid w:val="00236E92"/>
    <w:rsid w:val="00255D59"/>
    <w:rsid w:val="002A4F5D"/>
    <w:rsid w:val="002F1DC3"/>
    <w:rsid w:val="00310587"/>
    <w:rsid w:val="003378CB"/>
    <w:rsid w:val="00347FD0"/>
    <w:rsid w:val="003B40EE"/>
    <w:rsid w:val="003D5B36"/>
    <w:rsid w:val="00416424"/>
    <w:rsid w:val="00440938"/>
    <w:rsid w:val="00476AA6"/>
    <w:rsid w:val="004A63CB"/>
    <w:rsid w:val="004C257C"/>
    <w:rsid w:val="004D70C1"/>
    <w:rsid w:val="005216BC"/>
    <w:rsid w:val="005319DC"/>
    <w:rsid w:val="0055338D"/>
    <w:rsid w:val="005F243B"/>
    <w:rsid w:val="0064385C"/>
    <w:rsid w:val="0068762A"/>
    <w:rsid w:val="006F67A7"/>
    <w:rsid w:val="0070113B"/>
    <w:rsid w:val="00754599"/>
    <w:rsid w:val="00797951"/>
    <w:rsid w:val="008168D8"/>
    <w:rsid w:val="00825A75"/>
    <w:rsid w:val="0083117A"/>
    <w:rsid w:val="00853012"/>
    <w:rsid w:val="00877CF2"/>
    <w:rsid w:val="008C2A3F"/>
    <w:rsid w:val="008D2277"/>
    <w:rsid w:val="00904478"/>
    <w:rsid w:val="00921088"/>
    <w:rsid w:val="009255C8"/>
    <w:rsid w:val="009408C8"/>
    <w:rsid w:val="00994E91"/>
    <w:rsid w:val="009B57DF"/>
    <w:rsid w:val="009D3ED0"/>
    <w:rsid w:val="00A5313C"/>
    <w:rsid w:val="00B152F8"/>
    <w:rsid w:val="00C65B63"/>
    <w:rsid w:val="00CD470C"/>
    <w:rsid w:val="00D270A8"/>
    <w:rsid w:val="00DB7631"/>
    <w:rsid w:val="00E238FF"/>
    <w:rsid w:val="00E64596"/>
    <w:rsid w:val="00EE5238"/>
    <w:rsid w:val="00F94BFA"/>
    <w:rsid w:val="00F96ECE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728A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FA"/>
  </w:style>
  <w:style w:type="paragraph" w:styleId="Footer">
    <w:name w:val="footer"/>
    <w:basedOn w:val="Normal"/>
    <w:link w:val="FooterChar"/>
    <w:uiPriority w:val="99"/>
    <w:unhideWhenUsed/>
    <w:rsid w:val="00F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FA"/>
  </w:style>
  <w:style w:type="character" w:styleId="CommentReference">
    <w:name w:val="annotation reference"/>
    <w:basedOn w:val="DefaultParagraphFont"/>
    <w:uiPriority w:val="99"/>
    <w:semiHidden/>
    <w:unhideWhenUsed/>
    <w:rsid w:val="00B1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5A75"/>
    <w:pPr>
      <w:spacing w:after="0" w:line="240" w:lineRule="auto"/>
    </w:pPr>
  </w:style>
  <w:style w:type="numbering" w:customStyle="1" w:styleId="Style1">
    <w:name w:val="Style1"/>
    <w:uiPriority w:val="99"/>
    <w:rsid w:val="00FB332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4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8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3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safe.govt.n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zf.org.n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ac.org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ealthpathways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milyplanning.org.n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985D-E382-4AF0-9FAC-A93BD22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CD5B8414</Template>
  <TotalTime>92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15</cp:revision>
  <dcterms:created xsi:type="dcterms:W3CDTF">2019-07-30T03:14:00Z</dcterms:created>
  <dcterms:modified xsi:type="dcterms:W3CDTF">2019-09-05T01:41:00Z</dcterms:modified>
</cp:coreProperties>
</file>